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902/2015 vom 29. März 2016</w:t>
      </w:r>
    </w:p>
    <w:p>
      <w:r>
        <w:t>Bundesgericht, 2016-03-29, DE</w:t>
      </w:r>
    </w:p>
    <w:p>
      <w:r>
        <w:rPr>
          <w:b/>
        </w:rPr>
        <w:t xml:space="preserve">Quelle: </w:t>
      </w:r>
      <w:r>
        <w:t>https://mcp.opencaselaw.ch/entscheid/bger_8C_902_2015</w:t>
      </w:r>
    </w:p>
    <w:p>
      <w:r>
        <w:t>FR: TF 8C 902/2015 du 29 mars 2016</w:t>
      </w:r>
    </w:p>
    <w:p>
      <w:r>
        <w:t>IT: TF 8C 902/2015 del 29 marzo 2016</w:t>
      </w:r>
    </w:p>
    <w:p>
      <w:pPr>
        <w:pStyle w:val="Heading2"/>
      </w:pPr>
      <w:r>
        <w:t>Regeste</w:t>
      </w:r>
    </w:p>
    <w:p>
      <w:r>
        <w:t>Invalidenversicherung (Invalidenrente; Neuanmeldung) | Invalidenversicherung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w:t>
      </w:r>
    </w:p>
    <w:p>
      <w:r>
        <w:rPr>
          <w:b/>
        </w:rPr>
        <w:t>E. 2.2</w:t>
      </w:r>
    </w:p>
    <w:p>
      <w:r>
        <w:t>Tritt die Verwaltung auf die Neuanmeldung ein, so hat sie die Sache materiell abzuklären und sich zu vergewissern, ob die glaubhaft gemachte Veränderung des Invaliditätsgrades oder der Hilflosigkeit auch tatsächlich eingetreten ist;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3</w:t>
      </w:r>
    </w:p>
    <w:p>
      <w:r>
        <w:t>Streitig ist, ob Vorinstanz und Verwaltung das Neuanmeldungsgesuch der Versicherten zu Recht abgewiesen haben. Zu prüfen ist dabei insbesondere, ob es in der Zeit zwischen dem 16. November 2010 (Zeitpunkt der letzten Rentenablehnung) und dem 26. Februar 2015 (Datum der angefochtenen Verfügung) zu einer rentenbegründenden Änderung des Sachverhalts gekommen ist.</w:t>
      </w:r>
    </w:p>
    <w:p>
      <w:r>
        <w:rPr>
          <w:b/>
        </w:rPr>
        <w:t>E. 4.1</w:t>
      </w:r>
    </w:p>
    <w:p>
      <w:r>
        <w:t>Die Beschwerdeführerin macht geltend, sie hätte als Gesunde im massgebenden Zeitraum den Anteil ihrer Erwerbsarbeit zu Gunsten ihrer Tätigkeit im Haushalt reduziert. Wie es sich damit verhält, kann indessen offenbleiben. Eine solche Statusveränderung könnte sich nur dann rentenbegründend auswirken, wenn der (ungewichtete) Invaliditätsgrad im Haushaltsbereich höher als jener im Erwerbsbereich wäre. Dies wird jedoch von der Versicherten nicht dargetan und ist auch sonst nicht ersichtlich.</w:t>
      </w:r>
    </w:p>
    <w:p>
      <w:r>
        <w:rPr>
          <w:b/>
        </w:rPr>
        <w:t>E. 4.2</w:t>
      </w:r>
    </w:p>
    <w:p>
      <w:r>
        <w:t>Das kantonale Gericht hat in umfassender Würdigung der medizinischen Akten für das Bundesgericht grundsätzlich verbindlich festgestellt, dass es zwischen dem 16. November 2010 und dem 26. Februar 2015 zu keiner rentenbegründenden Verschlechterung des Gesundheitszustandes gekommen ist. Was die Beschwerdeführerin gegen diese Feststellung vorbringt, vermag sie nicht als bundesrechtswidrig erscheinen zu lassen. Soweit die Versicherte unter geringeren Schmerzen als noch im Jahre 2010 leidet, so stellt dies allenfalls eine Verbesserung, sicher aber keine anspruchsbegründende Verschlechterung des Gesundheitszustandes, dar. Auch in dem von der Beschwerdeführerin aufgelegten Parteigutachten der Dr. med. B.________, Fachärztin für Psychiatrie und Psychotherapie FMH, vom 20. März 2015 wird keine entsprechende Verschlechterung attestiert; die Gutachterin scheint vielmehr entgegen dem Urteil 8C_375/2011 vom 5. Juli 2011 davon auszugehen, die Versicherte sei schon seit vielen Jahren nicht mehr arbeitsfähig. Entsprechend ist auch nicht zu beanstanden, dass die Vorinstanz einen Anspruch der Beschwerdeführerin auf Erstattung der Kosten dieses Privatgutachtens verneint hat.</w:t>
      </w:r>
    </w:p>
    <w:p>
      <w:r>
        <w:rPr>
          <w:b/>
        </w:rPr>
        <w:t>E. 4.3</w:t>
      </w:r>
    </w:p>
    <w:p>
      <w:r>
        <w:t>Die Änderung der Rechtsprechung zu den somatoformen Schmerzstörungen ( BGE 141 V 281 ) stellt für sich allein keinen Neuanmeldungs- oder Wiedererwägungsgrund dar (vgl. BGE 141 V 585 E. 5 S. 587 ff.). Somit braucht nicht näher geprüft zu werden, ob das Leiden der Versicherten grundsätzlich überhaupt in den Anwendungsbereich dieser Rechtsprechung fallen würde. Demnach haben Vorinstanz und Verwaltung bei Fehlen einer anspruchsbegründenden Veränderung des Sachverhalts zwischen dem 16. November 2010 und dem 26. Februar 2015 einen Neuanmeldungsgrund zu Recht verneint; die Beschwerde der Versicherten ist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