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8C_901/2013 vom 27. Februar 2014</w:t>
      </w:r>
    </w:p>
    <w:p>
      <w:r>
        <w:t>Bundesgericht, 2014-02-27, DE</w:t>
      </w:r>
    </w:p>
    <w:p>
      <w:r>
        <w:rPr>
          <w:b/>
        </w:rPr>
        <w:t xml:space="preserve">Quelle: </w:t>
      </w:r>
      <w:r>
        <w:t>https://mcp.opencaselaw.ch/entscheid/bger_8C_901_2013</w:t>
      </w:r>
    </w:p>
    <w:p>
      <w:r>
        <w:t>FR: TF 8C_901/2013 du 27 février 2014</w:t>
      </w:r>
    </w:p>
    <w:p>
      <w:r>
        <w:t>IT: TF 8C_901/2013 del 27 febbraio 2014</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bei einer Neuanmeldung der versicherten Person nach vorausgegangener rechtskräftiger Rentenverweigerung anwendbaren Regeln (Art. 87 Abs. 2 f. IVV; BGE 133 V 108 , 130 V 64 und 71, 117 V 198 E. 4b S. 200; zum Begriff der Glaubhaftmachung vgl. SVR 2011 IV Nr. 2 S. 7 E. 3.2 [9C_904/2009]) richtig wiedergegeben. Darauf wird verwiesen. Zu wiederholen ist, dass der Untersuchungsgrundsatz ( Art. 43 Abs. 1, Art. 61 lit. c ATSG ; BGE 138 V 218 E. 6 S. 221) im Rahmen von Art. 87 Abs. 2 f. IVV nicht zum Tragen kommt. Die versicherte Person ist somit beweisführungsbelastet, was den Eintretenstatbestand der Glaubhaftmachung einer massgeblichen Änderung des Invaliditätsgrades angeht ( BGE 130 V 64 E. 5.2.5 S. 68 f.; Urteil 8C_457/2012 vom 9. Juli 2012 E. 2).</w:t>
      </w:r>
    </w:p>
    <w:p>
      <w:r>
        <w:rPr>
          <w:b/>
        </w:rPr>
        <w:t>E. 3.1</w:t>
      </w:r>
    </w:p>
    <w:p>
      <w:r>
        <w:t>Streitig und zu prüfen ist, ob der Versicherte glaubhaft gemacht hat, dass sich sein Gesundheitszustand bzw. seine Arbeitsfähigkeit seit der rentenaufhebenden Verfügung vom 8. Juni 2007 bis zur Neuanmeldung vom 11./13. Juli 2012 respektive bis zur streitigen Verfügung vom 15. Oktober 2012 erheblich verschlechtert haben. Die Vorinstanz hat dies in Würdigung der medizinischen Akten mit einlässlicher Begründung verneint und deshalb das Nichteintreten der IV-Stelle auf die Neuanmeldung als rechtens qualifiziert. Auf die vorinstanzlichen Erwägungen wird verwiesen.</w:t>
      </w:r>
    </w:p>
    <w:p>
      <w:r>
        <w:t>Der Beschwerdeführer erhebt keine Rügen, welche zur Bejahung einer Rechtsverletzung führen oder die vorinstanzlichen Sachverhaltsfeststellungen als offensichtlich unrichtig oder als Ergebnis willkürlicher Beweiswürdigung oder als rechtsfehlerhaft nach Art. 95 BGG erscheinen lassen (vgl. E. 1 hievor).</w:t>
      </w:r>
    </w:p>
    <w:p>
      <w:r>
        <w:rPr>
          <w:b/>
        </w:rPr>
        <w:t>E. 3.2</w:t>
      </w:r>
    </w:p>
    <w:p>
      <w:r>
        <w:t>Soweit sich der Versicherte auf die erst im kantonalen Beschwerdeverfahren aufgelegten Berichte des Dr. med. L.________, FMH Innere Medizin, Kardiologie, Sportmedizin SGSM, vom 28. Oktober 2011 und 11. Juni 2012 sowie des Prof. Dr. med. I.________, Chefarzt, Behandlungszentrum Bewegungsapparat Wirbel-säulenchirurgie, Spital X.________, vom 23. Dezember 2011 beruft, können sie nicht berücksichtigt werden ( BGE 130 V 64 E. 5.2.5 S. 69; Urteil 8C_457/2012 E. 3.1).</w:t>
      </w:r>
    </w:p>
    <w:p>
      <w:r>
        <w:rPr>
          <w:b/>
        </w:rPr>
        <w:t>E. 3.3</w:t>
      </w:r>
    </w:p>
    <w:p>
      <w:r>
        <w:t>Für die Beurteilung des Rentenanspruchs ist es unabhängig von der Diagnose und grundsätzlich unbesehen der Ätiologie massgebend, ob und in welchem Ausmass eine Beeinträchtigung der Arbeits- bzw. Erwerbsfähigkeit vorliegt ( BGE 136 V 279 E. 3.2.1 S. 281; Urteil 8C_808/2012 vom 21. Dezember 2012 E. 3.3.2).</w:t>
      </w:r>
    </w:p>
    <w:p>
      <w:r>
        <w:rPr>
          <w:b/>
        </w:rPr>
        <w:t>E. 3.3.1</w:t>
      </w:r>
    </w:p>
    <w:p>
      <w:r>
        <w:t>Bei der rentenaufhebenden Verfügung vom 8. Juni 2007 wurde davon ausgegangen, dem Versicherten sei eine wechselbelastende, leichte Tätigkeit ohne Heben, Tragen und Bewegen von schweren Lasten sowie ohne Zwangshaltungen wie vornübergebeugt stehend, kniend, hockend oder dauernd sitzend, voll zumutbar (Urteil 8C_589/2008 E. 5.1). Im entsprechenden IFPP-Gutachten vom 20. Fe-bruar 2007 wurde ein Heben, Tragen und Bewegen von Lasten über 15 kg als unzumutbar erachtet.</w:t>
      </w:r>
    </w:p>
    <w:p>
      <w:r>
        <w:rPr>
          <w:b/>
        </w:rPr>
        <w:t>E. 3.3.2</w:t>
      </w:r>
    </w:p>
    <w:p>
      <w:r>
        <w:t>Im Rahmen der vom Versicherten bei der Neuanmeldung vom 11./13. Juli 2012 eingereichten Arztberichte äusserten sich Dr. med. L.________ am 22. August 2011 sowie Dr. med. W.________, Facharzt FMH Orthopädische Chirurgie und Traumatologie des Bewegungsapparats, Neuro- und Wirbelsäulenzentrum Y.________, am 15. Juni 2012 zu seiner Arbeitsfähigkeit bzw. Belastbarkeit. Ersterer führte aus, insgesamt erwarte er ein Zumutbarkeitsprofil mit weitgehend ergonomischer Körperhaltung: sitzend mit aufrechtem Oberkörper, dabei genügend Gelegenheiten zum Aufstehen; die Belastungsgrenzen bewegten sich im Bereich von 15 kg. Dr. med. W.________ legte dar, die der Halswirbelsäule (HWS) zuordnerbaren Beschwerden schränkten die Lebensqualität glaubhaft ein; sie bedingten auch zweifellos eine zusätzlich verminderte Belastbarkeit für körperlich beanspruchende Tätigkeiten; da keine radikulär-typischen Beschwerden vorgebracht würden und die Liquorraumreserve nirgends tangiert sei, stelle er keine Operationsindikation.</w:t>
      </w:r>
    </w:p>
    <w:p>
      <w:r>
        <w:t>Dr. med. C.________, FMH Orthopädische Chirurgie und Traumatologie des Bewegungsapparats, Regionaler Ärztlicher Dienst (RAD) der IV-Stelle, legte in der Aktenstellungnahme vom 27. Juli 2012 dar, das im IFPP-Gutachten vom 20. Februar 2007 ermittelte zumutbare Arbeitsprofil beinhalte bereits ein Wirbelsäulenschonprofil, das unter-funktionell-ergonomischen Aspekten auch die HWS weitgehend mit einbeziehe. Eine massgebliche Verschlechterung, oder gar ein dauerhafter Gesundheitsschaden, der die bislang somatisch unlimitierte Arbeitsfähigkeit in angepasster Tätigkeit in Frage stellen könnte, sei anhand des medizinischen Sachverhalts unter ergonomischen Gesichtspunkten nach wie vor nicht ausgewiesen. Hieran hielt er mit Aktenstellungnahme vom 28. September 2012 fest (zur Aufgabe des RAD, die Leistungsfähigkeit zu beurteilen vgl. Art. 59 Abs. 2 und 2bis IVG ; Art. 49 IVV ; nicht publ. E. 3.3.2 des BGE 135 V 254 ; zum Beweiswert von Aktenstellungnahmen siehe SVR 2010 UV Nr. 17 S. 63 E. 7.2 [8C_239/2008]; RKUV 1993 Nr. U 167 S. 95 E. 5d).</w:t>
      </w:r>
    </w:p>
    <w:p>
      <w:r>
        <w:t>Nach dem Gesagten ist der Vorinstanz beizupflichten, dass der Versicherte eine erhebliche Verschlechterung der Arbeitsfähigkeit seit der Verfügung vom 8. Juni 2007 nicht glaubhaft gemacht hat.</w:t>
      </w:r>
    </w:p>
    <w:p>
      <w:r>
        <w:rPr>
          <w:b/>
        </w:rPr>
        <w:t>E. 4</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