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8/2012 vom 17. April 2012</w:t>
      </w:r>
    </w:p>
    <w:p>
      <w:r>
        <w:t>Bundesgericht, 2012-04-17, FR</w:t>
      </w:r>
    </w:p>
    <w:p>
      <w:r>
        <w:rPr>
          <w:b/>
        </w:rPr>
        <w:t xml:space="preserve">Quelle: </w:t>
      </w:r>
      <w:r>
        <w:t>https://mcp.opencaselaw.ch/entscheid/bger_8C_8_2012</w:t>
      </w:r>
    </w:p>
    <w:p>
      <w:r>
        <w:t>FR: TF 8C 8/2012 du 17 avril 2012</w:t>
      </w:r>
    </w:p>
    <w:p>
      <w:r>
        <w:t>IT: TF 8C 8/2012 del 17 aprile 2012</w:t>
      </w:r>
    </w:p>
    <w:p>
      <w:pPr>
        <w:pStyle w:val="Heading2"/>
      </w:pPr>
      <w:r>
        <w:t>Regeste</w:t>
      </w:r>
    </w:p>
    <w:p>
      <w:r>
        <w:t>Aide sociale (droit d'être entendu) | Santé &amp; sécurité sociale</w:t>
      </w:r>
    </w:p>
    <w:p>
      <w:pPr>
        <w:pStyle w:val="Heading2"/>
      </w:pPr>
      <w:r>
        <w:t>Erwägungen</w:t>
      </w:r>
    </w:p>
    <w:p>
      <w:r>
        <w:rPr>
          <w:b/>
        </w:rPr>
        <w:t>E. 1.1</w:t>
      </w:r>
    </w:p>
    <w:p>
      <w:r>
        <w:t>Invoquant une violation du droit d'être entendu, le recourant se plaint du fait que la cour cantonale ne l'a pas convoqué pour lui donner la parole et allègue qu'il n'a jamais reçu de courrier lui « posant une question ». En agissant de la sorte, l'autorité précédente l'aurait privé de la possibilité de donner sa version des faits.</w:t>
      </w:r>
    </w:p>
    <w:p>
      <w:r>
        <w:rPr>
          <w:b/>
        </w:rPr>
        <w:t>E. 1.2</w:t>
      </w:r>
    </w:p>
    <w:p>
      <w:r>
        <w:t>Le recourant n'allègue pas que le droit cantonal aurait une portée plus large que l' art. 29 al. 2 Cst. , de sorte que le grief de violation du droit d'être entendu doit être examiné exclusivement à l'aune de cette dernière disposition ( ATF 126 I 15 consid. 2a p. 16; arrêt 5A_763/2011 du 7 mars 2012 consid. 4.1). 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A lui seul, l' art. 29 al. 2 Cst. ne confère pas le droit d'être entendu oralement ( ATF 134 I 140 consid. 5.3 p. 148; 130 II 425 consid. 2.1 p. 428). Par conséquent, le grief tiré de la violation du droit d'être entendu est mal fondé.</w:t>
      </w:r>
    </w:p>
    <w:p>
      <w:r>
        <w:rPr>
          <w:b/>
        </w:rPr>
        <w:t>E. 2</w:t>
      </w:r>
    </w:p>
    <w:p>
      <w:r>
        <w:t>Pour les mêmes motifs, la requête du recourant tendant à être entendu par le Tribunal fédéral doit être rejetée. Un droit d'être entendu oralement n'est pas non plus accordé par la loi sur le Tribunal fédéral devant lequel la procédure se déroule par écrit. La tenue de débats - au demeurant publics ( art. 59 al. 1 LTF ) - devant le Tribunal fédéral revêt un caractère exceptionnel et les parties n'ont en principe aucun droit à ce qu'il y soit procédé ( art. 57 ss LTF ).</w:t>
      </w:r>
    </w:p>
    <w:p>
      <w:r>
        <w:rPr>
          <w:b/>
        </w:rPr>
        <w:t>E. 3</w:t>
      </w:r>
    </w:p>
    <w:p>
      <w:r>
        <w:t>Pour le reste, le recours ne contient aucun grief satisfaisant aux réquisits de motivation de l' art. 42 al. 1 et 2 LTF en corrélation avec l' art. 106 al. 2 LTF .</w:t>
      </w:r>
    </w:p>
    <w:p>
      <w:r>
        <w:rPr>
          <w:b/>
        </w:rPr>
        <w:t>E. 4</w:t>
      </w:r>
    </w:p>
    <w:p>
      <w:r>
        <w:t>Le recours se révèle manifestement infondé, de sorte que la cause doit être liquidée selon la procédure simplifiée prévue à l' art. 109 al. 2 let. b LTF . Il y a lieu de renoncer exceptionnellement à la perception de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