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8C_899/2010 vom 14. Juli 2011</w:t>
      </w:r>
    </w:p>
    <w:p>
      <w:r>
        <w:t>Bundesgericht, 2011-07-14, FR</w:t>
      </w:r>
    </w:p>
    <w:p>
      <w:r>
        <w:rPr>
          <w:b/>
        </w:rPr>
        <w:t xml:space="preserve">Quelle: </w:t>
      </w:r>
      <w:r>
        <w:t>https://mcp.opencaselaw.ch/entscheid/bger_8C_899_2010</w:t>
      </w:r>
    </w:p>
    <w:p>
      <w:r>
        <w:t>FR: TF 8C_899/2010 du 14 juillet 2011</w:t>
      </w:r>
    </w:p>
    <w:p>
      <w:r>
        <w:t>IT: TF 8C_899/2010 del 14 luglio 2011</w:t>
      </w:r>
    </w:p>
    <w:p>
      <w:pPr>
        <w:pStyle w:val="Heading2"/>
      </w:pPr>
      <w:r>
        <w:t>Erwägungen</w:t>
      </w:r>
    </w:p>
    <w:p>
      <w:r>
        <w:rPr>
          <w:b/>
        </w:rPr>
        <w:t>E. 1</w:t>
      </w:r>
    </w:p>
    <w:p>
      <w:r>
        <w:t>Le litige porte sur le point de savoir si la CNA était fondée, par sa décision sur opposition du 21 août 2009 à supprimer le droit de la recourante aux prestations de l'assurance-accidents à partir du 1er janvier 2009.</w:t>
      </w:r>
    </w:p>
    <w:p>
      <w:r>
        <w:rPr>
          <w:b/>
        </w:rPr>
        <w:t>E. 2</w:t>
      </w:r>
    </w:p>
    <w:p>
      <w:r>
        <w:t>Compte tenu de l'objet du litige, le Tribunal fédéral n'est pas lié par les faits constatés en instance cantonale (art. 97 al. 2 et 105 al 3 LTF).</w:t>
      </w:r>
    </w:p>
    <w:p>
      <w:r>
        <w:rPr>
          <w:b/>
        </w:rPr>
        <w:t>E. 3</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4</w:t>
      </w:r>
    </w:p>
    <w:p>
      <w:r>
        <w:t>En l'espèce, les premiers juges ont fait application des critères objectifs définis par la jurisprudence pour examiner le caractère adéquat du lien de causalité entre une atteinte à la santé psychique et un accident de gravité moyenne ( ATF 115 V 133 consid. 6c/aa p. 140 et 403 consid. 5c/aa p. 409). La recourante ne conteste pas ce choix. Elle ne conteste pas non plus la qualification d'accident de gravité moyenne retenue par les premiers juges (pour comparaison voir arrêts 8C_182/2009 du 8 décembre 2009 consid. 8.2; arrêt 8C 767/2009 du 3 août 2010 consid. 4.2; arrêt 8C_978/2009 du 14 janvier 2011 consid. 5.3 ainsi que la casuistique en matière de circulation routière mentionnée à la RAMA 2005 n° U 555 p. 322, U 458/04 consid. 3.4.1).</w:t>
      </w:r>
    </w:p>
    <w:p>
      <w:r>
        <w:rPr>
          <w:b/>
        </w:rPr>
        <w:t>E. 5.1</w:t>
      </w:r>
    </w:p>
    <w:p>
      <w:r>
        <w:t>Pour qu'un lien de causalité adéquate entre les troubles psychiques et un accident de gravité moyenne soit admis, il faut que les critères objectifs posés par la jurisprudence en la matière se cumulent ou revêtent une intensité particulière ( ATF 115 V 133 consid. 6c/aa p. 140 et 403 consid. 5c/aa p. 409; cf. arrêt 8C_788/2008 du 4 mai 2009 consid. 2).</w:t>
      </w:r>
    </w:p>
    <w:p>
      <w:r>
        <w:rPr>
          <w:b/>
        </w:rPr>
        <w:t>E. 5.2</w:t>
      </w:r>
    </w:p>
    <w:p>
      <w:r>
        <w:t>A juste titre les premiers juges ont considéré qu'aucun de ces critères n'était rempli. En particulier, contrairement à ce que soutient la recourante, on ne saurait admettre que l'accident présentait un caractère dramatique. Non seulement la recourante roulait-elle à une vitesse peu élevée, mais en outre aucune autre personne ou automobile n'a été impliquée dans l'accident. Pour le reste, il suffit de renvoyer au considérant 3b du jugement cantonal. D'ailleurs, le recours est à la limite de la recevabilité, la recourante reprenant pratiquement mot pour mot l'argumentation soulevée devant la juridiction cantonale sans vraiment discuter les motifs de celle-ci en réponse aux griefs présentés devant elle. Dans ces conditions on peut douter que l'exigence d'une motivation topique soit satisfaite (cf. ATF 134 II 244 consid. 2.3 p. 247).</w:t>
      </w:r>
    </w:p>
    <w:p>
      <w:r>
        <w:rPr>
          <w:b/>
        </w:rPr>
        <w:t>E. 6</w:t>
      </w:r>
    </w:p>
    <w:p>
      <w:r>
        <w:t>Manifestement infondé, le recours doit être rejeté selon la procédure simplifiée de l' art. 109 al. 2 let. a LTF . La recourante, qui succombe, doit supporter les frais judiciaires afférents à la présente procédure (art. 66 al. 1, 1ère phrase, LTF). Pour le même motif, elle n'a pas droit aux dépens qu'elle prétend.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