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8C_898/2015 vom 13. Juni 2016</w:t>
      </w:r>
    </w:p>
    <w:p>
      <w:r>
        <w:t>Bundesgericht, 2016-06-13, DE</w:t>
      </w:r>
    </w:p>
    <w:p>
      <w:r>
        <w:rPr>
          <w:b/>
        </w:rPr>
        <w:t xml:space="preserve">Quelle: </w:t>
      </w:r>
      <w:r>
        <w:t>https://mcp.opencaselaw.ch/entscheid/bger_8C_898_2015</w:t>
      </w:r>
    </w:p>
    <w:p>
      <w:r>
        <w:t>FR: TF 8C_898/2015 du 13 juin 2016</w:t>
      </w:r>
    </w:p>
    <w:p>
      <w:r>
        <w:t>IT: TF 8C_898/2015 del 13 giugno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ab 1. Juni 2011 Anspruch auf eine Invalidenrente der Unfallversicherung hat.</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3.3</w:t>
      </w:r>
    </w:p>
    <w:p>
      <w:r>
        <w:t>Ist die SUVA nicht in der Lage, im Einzelfall den erwähnten Anforderungen zu genügen, kann im Bestreitungsfall nicht auf den DAP-Lohnvergleich abgestellt werden; die SUVA hat diesfalls die Invalidität aufgrund der LSE-Löhne zu ermitteln. Bemisst die SUVA das Invalideneinkommen von sich aus aufgrund der LSE-Löhne, ist es rechtsprechungsgemäss wünschenswert, dass sie einen Auszug aus der DAP-Datenbank zu den Akten nimmt, der die Unmöglichkeit, den Anforderung zu genügen, dokumentiert.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4.2.2 S. 480 f.). Diese Grundsätze hat das Bundesgericht unlängst bestätigt (vgl. BGE 139 V 592 ).</w:t>
      </w:r>
    </w:p>
    <w:p>
      <w:r>
        <w:rPr>
          <w:b/>
        </w:rPr>
        <w:t>E. 4.1</w:t>
      </w:r>
    </w:p>
    <w:p>
      <w:r>
        <w:t>Aufgrund des vom kantonalen Gericht eingeholten Gerichtsgutachtens steht nunmehr fest und ist unbestritten, dass die Versicherte in einer angepassten Tätigkeit voll arbeitsfähig ist. Angepasst ist dabei eine körperlich leichte und wechselbelastende Tätigkeit - ohne belastende Arbeiten mit dem rechten Arm auf beziehungsweise über der Schulterhorizontalen, ohne repetitive, auch unbelastete Bewegungen über Schulterhöhe sowie ohne Heben und Tragen ab Boden bis Tischhöhe über 10 kg sowie ohne kraftvolle Stoss-Zug-Drehbewegungen und auch ohne axiales Abstützen, Schläge, Vibrationen.</w:t>
      </w:r>
    </w:p>
    <w:p>
      <w:r>
        <w:rPr>
          <w:b/>
        </w:rPr>
        <w:t>E. 4.2</w:t>
      </w:r>
    </w:p>
    <w:p>
      <w:r>
        <w:t>Die SUVA macht zunächst geltend, mit diesem Anforderungsprofil sei auch die angestammte Tätigkeit vollzeitlich zumutbar, weshalb ein Rentenanspruch der Versicherten ohne Einkommensvergleich verneint werden könne. Wie das Bundesgericht jedoch bereits im (Rückweisungs-) Urteil 8C_887/2013 vom 21. Mai 2014 E. 5 festgehalten hat, kann, da die Versicherte ihre bisherige Stelle aufgrund des Unfalls verloren hat, nicht auf einen Einkommensvergleich im Sinne von Art. 16 ATSG verzichtet werden.</w:t>
      </w:r>
    </w:p>
    <w:p>
      <w:r>
        <w:rPr>
          <w:b/>
        </w:rPr>
        <w:t>E. 4.3</w:t>
      </w:r>
    </w:p>
    <w:p>
      <w:r>
        <w:t>Unbestritten ist das Valideneinkommen der Versicherten von Fr. 60'775.-. Im Sinne einer Eventualbegründung hat die SUVA in ihrem Einspracheentscheid vom 30. März 2012 festgehalten, bei Durchführung eines Einkommensvergleiches wäre gestützt auf die DAP von einem Invalideneinkommen von Fr. 56'833.20 und damit von einem rentenausschliessenden Invaliditätsgrad von 7 % auszugehen. Die SUVA rügt, die Vorinstanz habe ihren Anspruch auf rechtliches Gehör verletzt, indem sie ohne Auseinandersetzung mit der DAP der Versicherten direkt gestützt auf die LSE eine Rente zugesprochen habe. In der Tat fehlen im angefochtenen Entscheid jegliche Ausführungen dazu, weshalb im konkreten Fall eine Bemessung des Invalideneinkommens gestützt auf die DAP nicht möglich sein sollte. Damit hat die Vorinstanz gegen die Rechtsprechung (vgl. E. 3.3 hievor) verstossen, wonach es im Beschwerdeverfahren Sache des angerufenen Gerichts ist, die Rechtskonformität der DAP-Invaliditätsbemessung zu prüfen. Entsprechend ist die Beschwerde gutzuheissen, der vorinstanzliche Entscheid aufzuheben und die Sache an das kantonale Gericht zurückzuweisen. Dieses wird im neuen Entscheid zu beurteilen haben, ob sich das Invalideneinkommen - gegebenenfalls unter Einbezug der von der SUVA im kantonalen Verfahren aufgelegten DAP-Profile - nach der DAP-Methode bestimmen lässt.</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