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8C_896/2010 vom 2. März 2011</w:t>
      </w:r>
    </w:p>
    <w:p>
      <w:r>
        <w:t>Bundesgericht, 2011-03-02, DE</w:t>
      </w:r>
    </w:p>
    <w:p>
      <w:r>
        <w:rPr>
          <w:b/>
        </w:rPr>
        <w:t xml:space="preserve">Quelle: </w:t>
      </w:r>
      <w:r>
        <w:t>https://mcp.opencaselaw.ch/entscheid/bger_8C_896_2010</w:t>
      </w:r>
    </w:p>
    <w:p>
      <w:r>
        <w:t>FR: TF 8C_896/2010 du 2 mars 2011</w:t>
      </w:r>
    </w:p>
    <w:p>
      <w:r>
        <w:t>IT: TF 8C_896/2010 del 2 marzo 2011</w:t>
      </w:r>
    </w:p>
    <w:p>
      <w:pPr>
        <w:pStyle w:val="Heading2"/>
      </w:pPr>
      <w:r>
        <w:t>Erwägungen</w:t>
      </w:r>
    </w:p>
    <w:p>
      <w:r>
        <w:rPr>
          <w:b/>
        </w:rPr>
        <w:t>E. 1</w:t>
      </w:r>
    </w:p>
    <w:p>
      <w:r>
        <w:t>Die Vorinstanz hat die für die Beurteilung des Leistungsanspruchs bei einer Neuanmeldung einschlägigen Rechtsgrundlagen und die dazu ergangene Rechtsprechung zutreffend dargelegt und in Auseinandersetzung mit den Parteivorbringen und der Aktenlage die Ablehnung des Rentenanspruchs durch die Verwaltung bestätigt. Insbesondere hat sie unter Verweis auf BGE 134 V 231 E. 5.1 S. 232, 125 V 351 E. 3a S. 352 und RKUV 2003 U 487 S. 345 E. 5.1 (Urteil U 38/01 vom 5. Juni 2003) ausgeführt, dass für den Beweiswert eines Gutachtens nicht dessen Herkunft, sondern dessen Inhalt entscheidend sei, und das von der IV-Stelle im Anschluss an die Neuanmeldung eingeholte psychiatrische Gutachten von Dr. med. H.________ vom 3. Juli 2009 bezogen auf die Restarbeitsfähigkeit der Beschwerdeführerin als Invalide in concreto schlüssig erscheine und deshalb auch keine weiteren medizinischen Abklärungen angezeigt seien. Das kantonale Gericht schloss dabei das Vorliegen einer mit zumutbarer Willensanstrengung unüberwindbaren somatoformen Schmerzstörung oder psychischen Erkrankung aus.</w:t>
      </w:r>
    </w:p>
    <w:p>
      <w:r>
        <w:rPr>
          <w:b/>
        </w:rPr>
        <w:t>E. 2</w:t>
      </w:r>
    </w:p>
    <w:p>
      <w:r>
        <w:t>Was die Beschwerdeführerin dagegen vorbringt, dringt nicht durch:</w:t>
      </w:r>
    </w:p>
    <w:p>
      <w:r>
        <w:t>Inwiefern die Berücksichtigung des Berichts von Dr. med. H.________ gegen Art. 6 EMRK verstossen haben könnte, ist nicht einsichtig. Ebenso wenig nachvollziehbar ist die Argumentation, die Annahme, die Versicherte könne bei zumutbarer Willensanstrengung im bisherigen Umfang tätig sein, verstosse gegen das Diskriminierungsverbot nach Art. 8 BV sowie Art. 14 EMRK oder sonst eine Rechtsnorm. Soweit die Beschwerdeführerin damit eine Diskriminierung bestimmter Krankheitsbilder behaupten will, verkennt sie, dass die gesetzlichen Anforderungen an die massgebende Invalidität ( Art. 7, 8 und 16 ATSG ) für alle Krankheitsbilder dieselben sind, mithin nicht nur bei somatoformen Störungen und ähnlichen Beschwerdebildern, sondern bei sämtlichen Leiden eine gestellte Diagnose für sich allein noch keine Arbeits- oder Erwerbsunfähigkeit bzw. Invalidität begründet. Abgesehen davon prüft das Bundesgericht die Verletzung von Grundrechten nur insofern, als eine solche Rüge nicht nur vorgebracht, sondern auch begründet ist ( Art. 106 Abs. 2 BGG ). Zur Frage der Anwendbarkeit der gemischten Methode bei teilerwerbstätigen Personen hat sich das Bundesgericht sodann bereits verschiedentlich geäussert, dabei insbesondere auch deren Vereinbarkeit mit den verfassungs- und konventionsrechtlichen Diskriminierungsverboten sowie dem Recht auf Achtung des Privat- und Familienlebens gemäss Art. 8 EMRK bejaht (dazu siehe etwa BGE 125 V 146 ; SVR 2006 IV Nr. 42 S. 151 E. 5.2 [Urteil I 154/04 vom 13. Dezember 2005]). Die pauschal gehaltenen Vorbringen dazu bieten weder Anlass zu einer vertieften Auseinandersetzung noch zur Änderung der geltenden Praxis (zu den Voraussetzungen dazu: BGE 132 V 257 E. 4.2 S. 262).</w:t>
      </w:r>
    </w:p>
    <w:p>
      <w:r>
        <w:rPr>
          <w:b/>
        </w:rPr>
        <w:t>E. 3</w:t>
      </w:r>
    </w:p>
    <w:p>
      <w:r>
        <w:t>Insgesamt erweist sich die Beschwerde als offenkundig unbegründet, weshalb sie im Verfahren nach Art. 109 BGG summarisch begründet und mit Verweis auf den angefochtenen Entscheid erledigt wird.</w:t>
      </w:r>
    </w:p>
    <w:p>
      <w:r>
        <w:rPr>
          <w:b/>
        </w:rPr>
        <w:t>E. 4</w:t>
      </w:r>
    </w:p>
    <w:p>
      <w:r>
        <w:t>Die Gerichtskosten sind gestützt auf Art. 66 Abs. 1 BGG dem Ausgang entsprechend der unterliegenden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