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8C_894/2017 vom 26. Februar 2018</w:t>
      </w:r>
    </w:p>
    <w:p>
      <w:r>
        <w:t>Bundesgericht, 2018-02-26, IT</w:t>
      </w:r>
    </w:p>
    <w:p>
      <w:r>
        <w:rPr>
          <w:b/>
        </w:rPr>
        <w:t xml:space="preserve">Quelle: </w:t>
      </w:r>
      <w:r>
        <w:t>https://mcp.opencaselaw.ch/entscheid/bger_8C_894_2017</w:t>
      </w:r>
    </w:p>
    <w:p>
      <w:r>
        <w:t>FR: TF 8C_894/2017 du 26 février 2018</w:t>
      </w:r>
    </w:p>
    <w:p>
      <w:r>
        <w:t>IT: TF 8C_894/2017 del 26 febbraio 2018</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ricorso nei motivi deve spiegare in modo conciso perché l'atto impugnato viola il diritto ( art. 42 cpv. 2 LTF ). Il Tribunale federale esamina peraltro la violazione di diritti fondamentali e di disposizioni di diritto cantonale e intercantonale soltanto se il ricorrente ha sollevato e motivato tale censura ( art. 106 cpv. 2 LTF ). In tale eventualità il ricorrente è tenuto a specificare quali diritti considera lesi ed esporre le sue critiche in modo chiaro e circostanziato, accompagnandole da una motivazione esaustiva ( DTF 142 V 407 consid. 2.1 pag. 411 seg.). Nella misura in cui il ricorrente invoca gli art. 8, 9 e 29 Cost. e diverse disposizioni della Cost./TI, le sue censure sono inammissibili, limitandosi egli a elencare praticamente solo tali disposizioni.</w:t>
      </w:r>
    </w:p>
    <w:p>
      <w:r>
        <w:rPr>
          <w:b/>
        </w:rPr>
        <w:t>E. 2.1</w:t>
      </w:r>
    </w:p>
    <w:p>
      <w:r>
        <w:t>A norma dell'art. 23 cpv. 3 OANIF se l'assicurato non esercita regolarmente un'attività lucrativa o il suo salario è sottoposto a forti fluttuazioni, ci si deve basare su un medio salario giornaliero ponderato. Questa disposizione tende a creare una compensazione, disciplinando un caso speciale (cfr. DTF 139 V 464 ) e non il caso abituale, secondo cui l'indennità giornaliera è calcolata in base all'ultimo salario ricevuto dall'assicurato prima dell'infortunio (art. 15 cpv. 2 prima frase LAINF e art. 22 cpv. 3 OAINF ).</w:t>
      </w:r>
    </w:p>
    <w:p>
      <w:r>
        <w:rPr>
          <w:b/>
        </w:rPr>
        <w:t>E. 2.2</w:t>
      </w:r>
    </w:p>
    <w:p>
      <w:r>
        <w:t>Il Tribunale cantonale delle assicurazioni ha accertato che il ricorrente è entrato alle dipendenze dell'agenzia di collocamento B.________ SA dal 25 ottobre 2016. In seguito è stato prestato alla ditta C.________ SA per una durata massima di tre mesi con un lavoro medio di circa 176 ore al mese. Il ricorrente ha poi lavorato un solo giorno. Riferendosi alle dichiarazioni di alcuni collaboratori di C.________ SA e B.________ SA nonché ai dati richiamati da Meteo Svizzera, la Corte cantonale ha ritenuto che lo scenario più verosimile sarebbe stato quello secondo cui l'assicurato era chiamato in servizio da C.________ SA a dipendenza delle necessità dell'azienda.</w:t>
      </w:r>
    </w:p>
    <w:p>
      <w:r>
        <w:rPr>
          <w:b/>
        </w:rPr>
        <w:t>E. 2.3</w:t>
      </w:r>
    </w:p>
    <w:p>
      <w:r>
        <w:t>Le tesi del ricorrente, che si limitano in lunga parte a riproporre soltanto la propria opinione, confrontandosi peraltro in parte con i considerandi del giudizio cantonale, sono infondate. Infatti, il ricorrente ha lavorato un giorno, ma pur apprezzando la sua forza di volontà sul cantiere, C.________ SA non l'ha ritenuto idoneo all'attività prevista di ferraiolo. Se non ci fosse stato l'infortunio, il ricorrente non sarebbe stato in ogni caso in funzione nel ruolo inizialmente previsto. Si può per contro concludere, come i giudici ticinesi, che egli sarebbe stato a disposizione di C.________ SA in caso di necessità in ruoli di manovalanza, tramite lavoro su chiamata. In tale evenienza, si è in presenza di un'attività irregolare e pertanto a ragione si è stato applicato l' art. 23 cpv. 3 OAINF . Per il resto si può rinviare ai considerandi del giudizio cantonale ( art. 109 cpv. 3 LTF ).</w:t>
      </w:r>
    </w:p>
    <w:p>
      <w:r>
        <w:rPr>
          <w:b/>
        </w:rPr>
        <w:t>E. 3</w:t>
      </w:r>
    </w:p>
    <w:p>
      <w:r>
        <w:t>Ne segue che il ricorso, manifestamente infondato, deve essere respinto secondo la procedura semplificata dell' art. 109 cpv. 2 lett. a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