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8C_894/2010 vom 19. November 2010</w:t>
      </w:r>
    </w:p>
    <w:p>
      <w:r>
        <w:t>Bundesgericht, 2010-11-19, FR</w:t>
      </w:r>
    </w:p>
    <w:p>
      <w:r>
        <w:rPr>
          <w:b/>
        </w:rPr>
        <w:t xml:space="preserve">Quelle: </w:t>
      </w:r>
      <w:r>
        <w:t>https://mcp.opencaselaw.ch/entscheid/bger_8C_894_2010</w:t>
      </w:r>
    </w:p>
    <w:p>
      <w:r>
        <w:t>FR: TF 8C_894/2010 du 19 novembre 2010</w:t>
      </w:r>
    </w:p>
    <w:p>
      <w:r>
        <w:t>IT: TF 8C_894/2010 del 19 novembre 2010</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sur l'action sociale vaudoise du 2 décembre 2003 (LASV; RSV 850.051) et son règlement d'application du 26 octobre 2005 (RLASV; RSV 850.051.1).</w:t>
      </w:r>
    </w:p>
    <w:p>
      <w:r>
        <w:rPr>
          <w:b/>
        </w:rPr>
        <w:t>E. 5</w:t>
      </w:r>
    </w:p>
    <w:p>
      <w:r>
        <w:t>En l'occurrence, I.________ se limite à présenter sa version de certains faits, ce qui est insuffisant à démontrer l'arbitraire de l'appréciation cantonale des faits et des preuves. Elle n'invoque d'ailleurs aucune garantie de droit constitutionnel ni ne tente d'expliquer de quelle autre manière les premiers juges auraient mal appliqué le droit cantonal. Une telle motivation ne répond manifestement pas aux exigences de l' art. 106 al. 2 LTF . Le recours n'est par conséquent pas recevable.</w:t>
      </w:r>
    </w:p>
    <w:p>
      <w:r>
        <w:rPr>
          <w:b/>
        </w:rPr>
        <w:t>E. 6</w:t>
      </w:r>
    </w:p>
    <w:p>
      <w:r>
        <w:t>Il est renoncé à la perception d'un émolument judiciaire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