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8C_893/2017 vom 22. Februar 2018</w:t>
      </w:r>
    </w:p>
    <w:p>
      <w:r>
        <w:t>Bundesgericht, 2018-02-22, DE</w:t>
      </w:r>
    </w:p>
    <w:p>
      <w:r>
        <w:rPr>
          <w:b/>
        </w:rPr>
        <w:t xml:space="preserve">Quelle: </w:t>
      </w:r>
      <w:r>
        <w:t>https://mcp.opencaselaw.ch/entscheid/bger_8C_893_2017</w:t>
      </w:r>
    </w:p>
    <w:p>
      <w:r>
        <w:t>FR: TF 8C_893/2017 du 22 février 2018</w:t>
      </w:r>
    </w:p>
    <w:p>
      <w:r>
        <w:t>IT: TF 8C_893/2017 del 22 febbraio 2018</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1.3.1</w:t>
      </w:r>
    </w:p>
    <w:p>
      <w:r>
        <w:t>Eine Verfügung, welche der Sozialhilfe beziehenden Person (Verhaltes-) Pflichten auferlegt, beeinflusst ihre rechtliche Situation und kann in ihre Grundrechte (z.B. persönliche Freiheit) eingreifen. Die Weisung ist auch erster, notwendiger Schritt im Rahmen einer allfälligen Leistungskürzung. Die Sozialhilfe beziehende Person kann deshalb ein schützwürdiges Interesse haben, die auferlegte (Verhaltens-) Pflicht umgehend anfechten zu können und nicht die nachfolgende leistungskürzende Verfügung abwarten zu müssen. Andererseits ist der Schutz der Grundrechte derart fundamental, dass eine Verwirkung des Anfechtungsrechts nicht leichthin anzunehmen ist und der betroffenen Person - gerade auch im Hinblick auf die Rechtsprechung des Europäischen Gerichtshofs für Menschenrechte - eine globale Einschätzung ihrer persönlichen Situation in Kenntnis der gesamten Umstände (d.h. einschliesslich der konkreten negativen Sanktionen bei Nichtbefolgung der Weisung) möglich sein muss. Im Rahmen einer bundesrechtlichen Betrachtungsweise ist die strittige Weisung denn auch als Zwischenverfügung zu bezeichnen, da sie das Verfahren nicht beendet, sondern lediglich einen unverzichtbaren ersten Schritt im Rahmen des auf Reduktion der Sozialhilfeleistungen eingeleiteten Verfahrens darstellt (Urteil 8C_871/2011 vom 13. Juni 2012 E. 4.3.4; vgl. auch Rudolf Ursprung/Dorothea Riedi Hunold, Verfahrensgrundsätze und Grundrechtsbeschränkungen in der Sozialhilfe, ZBl 116/2015 S. 403 ff., insbesondere S. 413 ff.).</w:t>
      </w:r>
    </w:p>
    <w:p>
      <w:r>
        <w:t>Die Festlegungen der Weisungen und Auflagen einerseits und die Kürzung der Sozialhilfe bei deren Nichtbefolgung andererseits stehen denn auch in einem sehr engen inneren Zusammenhang. Für die rechtsuchende Person ist die Beurteilung der Verhältnismässigkeit der Weisung und der angedrohten Sanktion a priori schwierig zu beurteilen. Sie soll nicht dazu verhalten werden, die Weisung als solche zum vornherein, gleichsam auf Vorrat, anzufechten. Vielmehr soll der Schwerpunkt ihrer Bemühungen auf dem Bestreben, die Weisung erfüllen zu können, liegen. Es sprechen daher auch materielle Überlegungen für die Lösung, Weisungen und Auflagen als Zwischenentscheide und nicht als selbstständige Verfügung zu betrachten (Urteil 8C_871/2011 vom 13. Juni 2012 E. 4.3.5).</w:t>
      </w:r>
    </w:p>
    <w:p>
      <w:r>
        <w:rPr>
          <w:b/>
        </w:rPr>
        <w:t>E. 1.3.2</w:t>
      </w:r>
    </w:p>
    <w:p>
      <w:r>
        <w:t>Die Verfügung vom 9. Mai 2017 ist nur ein erster Schritt im Verfahren bezüglich der (allfällig andauernden) Anrechnung der Auslagen für das Auto des Beschwerdeführers (vgl. zu Weisungen in Zusammenhang mit der Anrechnung von Kosten eines Fahrzeugs Ursprung/Riedi Hunold, a.a.O., S. 415 f.). Somit stellt der vorinstanzliche Entscheid einen Zwischenentscheid im Sinne von Art. 93 Abs. 1 BGG dar, auch wenn er nicht als solcher bezeichnet ist und im Dispositiv keine Überweisung der Sache an die Sozialkommission festgehalten wird. Denn materiell wird erst in einem zweiten Schritt über die Anrechnung bzw. den Verzicht der weiteren Anrechnung dieser Kosten an den Lebensbedarf des Beschwerdeführers entschieden, je nachdem ob er die Weisung der Abgabe der Schilder befolgt oder aber im Rahmen seiner Mitwirkungspflicht (vgl. dazu Ursprung/Riedi Hunold, a.a.O., S. 411 f.) die angeforderten Unterlagen beibringt. Daran ändert auch der Umstand nichts, dass der Kanton Aargau - anders als der im Urteil 8C_871/2011 vom 13. Juni 2012 betroffene Kanton Zürich - in seinem Verwaltungsrechtspflegegesetz keine speziellen Bestimmungen zu Zwischenverfügungen und deren Anfechtbarkeit kennt. Der vorinstanzliche Entscheid ist demnach nur unter den Voraussetzungen nach Art. 93 Abs. 1 BGG beim Bundesgericht anfechtbar.</w:t>
      </w:r>
    </w:p>
    <w:p>
      <w:r>
        <w:rPr>
          <w:b/>
        </w:rPr>
        <w:t>E. 1.3.3</w:t>
      </w:r>
    </w:p>
    <w:p>
      <w:r>
        <w:t>Der Beschwerdeführer macht in seiner Beschwerde ans Bundesgericht keinerlei Ausführungen dazu und es ist auch nicht ohne Weiteres ersichtlich, inwiefern er einen nicht wieder gutzumachenden Nachteil im Sinne von Art. 93 Abs. 1 lit. a BGG erleiden würde. Dasselbe gilt für die alternative Voraussetzung nach Art. 93 Abs. 1 lit. b BGG . Auf seine Beschwerde ist demnach nicht einzutreten. Bei diesem Ausgang des Verfahrens wird ein Entscheid über das Gesuch um aufschiebende Wirkung obsolet.</w:t>
      </w:r>
    </w:p>
    <w:p>
      <w:r>
        <w:rPr>
          <w:b/>
        </w:rPr>
        <w:t>E. 2.1</w:t>
      </w:r>
    </w:p>
    <w:p>
      <w:r>
        <w:t>Da die Beschwerde aussichtslos ist, wird sie im Verfahren nach Art. 109 BGG erledigt.</w:t>
      </w:r>
    </w:p>
    <w:p>
      <w:r>
        <w:rPr>
          <w:b/>
        </w:rPr>
        <w:t>E. 2.2</w:t>
      </w:r>
    </w:p>
    <w:p>
      <w:r>
        <w:t>Das Gesuch um unentgeltliche Rechtspflege ist infolge Aussichtslosigkeit abzuweisen ( Art. 64 Abs. 1 BGG ).</w:t>
      </w:r>
    </w:p>
    <w:p>
      <w:r>
        <w:rPr>
          <w:b/>
        </w:rPr>
        <w:t>E. 2.3</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