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893/2013 vom 23. Mai 2014</w:t>
      </w:r>
    </w:p>
    <w:p>
      <w:r>
        <w:t>Bundesgericht, 2014-05-23, DE</w:t>
      </w:r>
    </w:p>
    <w:p>
      <w:r>
        <w:rPr>
          <w:b/>
        </w:rPr>
        <w:t xml:space="preserve">Quelle: </w:t>
      </w:r>
      <w:r>
        <w:t>https://mcp.opencaselaw.ch/entscheid/bger_8C_893_2013</w:t>
      </w:r>
    </w:p>
    <w:p>
      <w:r>
        <w:t>FR: TF 8C 893/2013 du 23 mai 2014</w:t>
      </w:r>
    </w:p>
    <w:p>
      <w:r>
        <w:t>IT: TF 8C 893/2013 del 23 maggio 2014</w:t>
      </w:r>
    </w:p>
    <w:p>
      <w:pPr>
        <w:pStyle w:val="Heading2"/>
      </w:pPr>
      <w:r>
        <w:t>Regeste</w:t>
      </w:r>
    </w:p>
    <w:p>
      <w:r>
        <w:t>Unfallversicherung (Integritätsentschädigung)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Integritätsentschädigung ( Art. 24, Art. 25 Abs. 1 UVG ; Art. 36 Abs. 1 und 2 UVV ; BGE 124 V 29 ; vgl. auch BGE 133 V 224 ) richtig dargelegt. Darauf wird verwiesen.</w:t>
      </w:r>
    </w:p>
    <w:p>
      <w:r>
        <w:rPr>
          <w:b/>
        </w:rPr>
        <w:t>E. 3.1</w:t>
      </w:r>
    </w:p>
    <w:p>
      <w:r>
        <w:t>Die Vorinstanz hat in Würdigung der medizinischen Akten mit einlässlicher Begründung - auf die verwiesen wird - richtig erkannt, dass die der Versicherten gestützt auf das Gutachten des medizinischen Abklärungsinstituts D.________ vom 28. Juni 2010 zugesprochene Integritätsentschädigung bei einer Integritätseinbusse von 20 % (Wirbelsäulenverletzung 10 %, Milzverlust 10 %) nicht zu beanstanden sei.</w:t>
      </w:r>
    </w:p>
    <w:p>
      <w:r>
        <w:rPr>
          <w:b/>
        </w:rPr>
        <w:t>E. 3.2.1</w:t>
      </w:r>
    </w:p>
    <w:p>
      <w:r>
        <w:t>Die Versicherte verlangt eine Integritätsentschädigung bei einer Integritätseinbusse von 30 %. Sie macht geltend, die neurologischen Untersuchungen und die neuropsychologischen Abklärungen des Dr. med. E.________ bzw. des Dr. phil. F.________ (Gutachten und Bericht vom 15. Oktober 2012) hätten eine leichte bis mittelschwere Hirnfunktionsstörung bestätigt. Hierfür sei ihr gestützt auf die von der Medizinischen Abteilung der SUVA erarbeitete Tabelle 8 (Integritätsschaden bei Hirnfunktionsstörungen nach Hirnverletzung) eine zusätzliche Integritätsentschädigung zuzusprechen. Dr. med. E.________ sei der Meinung, dass unter Berücksichtigung sämtlicher Unfallfolgen eine Integritätseinbusse von 25-30 % anzunehmen sei (Ergänzungsbericht vom 11. März 2013).</w:t>
      </w:r>
    </w:p>
    <w:p>
      <w:r>
        <w:rPr>
          <w:b/>
        </w:rPr>
        <w:t>E. 3.2.2</w:t>
      </w:r>
    </w:p>
    <w:p>
      <w:r>
        <w:t>Gemäss dem neurologischen/neuropsychologischen Gutachten der Klinik B.________ vom 15. Oktober 2012 sind die Einschränkungen des neurokognitiven Leistungsprofils der Versicherten auf das chronifizierte Schmerzsyndrom nach komplexer unfallbedingter Wirbelsäulenverletzung zurückzuführen. Eine Hirnverletzung als Mitursache für diese Einschränkungen ist nicht mit dem Beweisgrad der überwiegenden Wahrscheinlichkeit (vgl. BGE 138 V 218 E. 6 S. 221) erstellt. In diesem Lichte hat die Versicherte keinen Anspruch auf eine Integritätsentschädigung wegen Hirnverletzung nach SUVA-Tabelle 8 (vgl. Urteil 8C_139/2009 vom 26. August 2009 E. 6.1). Unbehelflich ist ihr pauschaler Einwand, die von der SUVA herausgegebenen Tabellen stellten keine Rechtssätze dar und seien für das Gericht nicht verbindlich (vgl. Urteil 8C_826/2012 vom 28. Mai 2013 E. 2.2).</w:t>
      </w:r>
    </w:p>
    <w:p>
      <w:r>
        <w:rPr>
          <w:b/>
        </w:rPr>
        <w:t>E. 3.3</w:t>
      </w:r>
    </w:p>
    <w:p>
      <w:r>
        <w:t>Aus BGE 124 V 29 kann die Versicherte ebenfalls nichts zu ihren Gunsten ableiten, da dieses Urteil die Integritätsentschädigung bei psychischen Unfallfolgen betrifft. Die Vorinstanz hat zutreffend erkannt, dass eine zusätzliche psychische Störung, welche ihrerseits einen Integritätsschaden gemäss SUVA-Tabelle 19 zu begründen vermöchte, nicht besteht; dies ist unbestritten.</w:t>
      </w:r>
    </w:p>
    <w:p>
      <w:r>
        <w:rPr>
          <w:b/>
        </w:rPr>
        <w:t>E. 3.4</w:t>
      </w:r>
    </w:p>
    <w:p>
      <w:r>
        <w:t>Insgesamt erhebt die Versicherte keine Rügen, welche die vorinstanzlichen Sachverhaltsfeststellungen zur Integritätseinbusse als unrichtig oder unvollständig ( Art. 97 Abs. 2 BGG ) oder den angefochtenen Entscheid als rechtsfehlerhaft nach Art. 95 BGG erscheinen lassen.</w:t>
      </w:r>
    </w:p>
    <w:p>
      <w:r>
        <w:rPr>
          <w:b/>
        </w:rPr>
        <w:t>E. 4</w:t>
      </w:r>
    </w:p>
    <w:p>
      <w:r>
        <w:t>Die unterliegende Beschwerdeführerin trägt die Verfahrenskosten (Art. 66 Abs. 1,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