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8C_892/2015 vom 29. April 2016</w:t>
      </w:r>
    </w:p>
    <w:p>
      <w:r>
        <w:t>Bundesgericht, 2016-04-29, DE</w:t>
      </w:r>
    </w:p>
    <w:p>
      <w:r>
        <w:rPr>
          <w:b/>
        </w:rPr>
        <w:t xml:space="preserve">Quelle: </w:t>
      </w:r>
      <w:r>
        <w:t>https://mcp.opencaselaw.ch/entscheid/bger_8C_892_2015</w:t>
      </w:r>
    </w:p>
    <w:p>
      <w:r>
        <w:t>FR: TF 8C_892/2015 du 29 avril 2016</w:t>
      </w:r>
    </w:p>
    <w:p>
      <w:r>
        <w:t>IT: TF 8C_892/2015 del 29 aprile 2016</w:t>
      </w:r>
    </w:p>
    <w:p>
      <w:pPr>
        <w:pStyle w:val="Heading2"/>
      </w:pPr>
      <w:r>
        <w:t>Erwägungen</w:t>
      </w:r>
    </w:p>
    <w:p>
      <w:r>
        <w:rPr>
          <w:b/>
        </w:rPr>
        <w:t>E. 1</w:t>
      </w:r>
    </w:p>
    <w:p>
      <w:r>
        <w:t>Entgegen der Ansicht des Beschwerdegegners ist auf die Beschwerde der SUVA einzutreten. Denn diese richtet sich gegen einen Endentscheid ( Art. 90 BGG ; Urteil 8C_347/2008 vom 1. Mai 2009 E. 1) und die weiteren Sachurteilsvoraussetzungen sind ebenfalls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Entscheid in einer Angelegenheit des öffentlichen Rechts ( Art. 82 lit. a BGG ) richtet und keine der in Art. 83 BGG erwähnten Ausnahmen greift.</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SUVA zu Recht ihre Leistungen per 31. Oktober 2014 einstellte. Die Vorinstanz hat dies mit der Begründung verneint, die Prüfung der Rentenfrage sei zu früh erfolgt, da die Eingliederungsmassnahmen der Invalidenversicherung noch nicht abgeschlossen seien. Die SUVA hält dem entgegen, die bei Leistungseinstellung noch geklagten psychischen Beschwerden seien nicht auf das Ereignis vom 28. September 2013 zurückzuführen, weshalb sie mangels rechtsgenüglichem Kausalzusammenhang auch keinen Einfluss auf den Rentenanspruch hätten; die Sache sei deshalb an die Vorinstanz zurückzuweisen, damit sie die übrigen Einwände gegen den Einspracheentscheid vom 23. Februar 2015 beurteile.</w:t>
      </w:r>
    </w:p>
    <w:p>
      <w:r>
        <w:rPr>
          <w:b/>
        </w:rPr>
        <w:t>E. 4.1</w:t>
      </w:r>
    </w:p>
    <w:p>
      <w:r>
        <w:t>Der Fallabschluss ist vorzunehmen, wenn von der Fortsetzung der ärztlichen Behandlung keine namhafte Besserung des Gesundheitszustandes mehr erwartet werden kann und die Eingliederungsmassnahmen der Invalidenversicherung abgeschlossen sind ( BGE 134 V 109 E. 4.1 S. 114). Für die Beurteilung der namhaften Besserung ist einzig auf die unfallbedingten, nicht aber die krankheitsbedingten Einschränkungen abzustellen (vgl. Urteil 8C_398/2009 vom 26. Oktober 2009 E. 4.4). Bei der sogenannten Psychopraxis ( BGE 115 V 133 ) stellen noch behandlungsbedürftige psychische Leiden keinen Grund für einen Aufschub des Fallabschlusses dar, da die psychischen Beeinträchtigungen für die Beurteilung der Adäquanz bei der Psychopraxis unberücksichtigt bleiben (Urteil 8C_465/2011 vom 7. September 2011 E. 5.1 und Urteil 8C_1004/2009 vom 13. April 2010 E. 4.2). Hingegen kann bei Massgeblichkeit der Schleudertraumapraxis der Fall erst abgeschlossen werden, wenn insgesamt keine namhafte Besserung des Gesundheitszustandes mehr zu erwarten ist (vgl. Urteil 8C_817/2007 vom 11. Dezember 2008 E. 5).</w:t>
      </w:r>
    </w:p>
    <w:p>
      <w:r>
        <w:t>Wird der Entscheid der Invalidenversicherung über die (berufliche) Eingliederung erst später gefällt, kann dies Anlass für eine das Taggeld ablösende Übergangsrente ( Art. 19 Abs. 3 UVG in Verbindung mit Art. 30 UVV ) bilden. Damit eine Übergangsrente nach Art. 19   Abs. 3 UVG ausgerichtet werden kann, muss der ausstehende Entscheid der IV über die berufliche Eingliederung Vorkehren beschlagen, welche einer Eingliederungsproblematik aufgrund eines unfallkausalen Gesundheitszustandes gelten. Rechtsprechungsgemäss kann sich sodann der in Art. 19 Abs. 1 Satz 1 UVG vorbehaltene Abschluss allfälliger Eingliederungsmassnahmen der IV, soweit es um berufliche Massnahmen geht, nur auf Vorkehren beziehen, welche geeignet sind, den der Invalidenrente der Unfallversicherung zugrunde zu legenden Invaliditätsgrad zu beeinflussen (RKUV 2004 Nr. U 508 S. 165          E. 5.2.2, U 105/03; Urteil 8C_588/2013 vom 16. Januar 2014 E. 3.4).</w:t>
      </w:r>
    </w:p>
    <w:p>
      <w:r>
        <w:rPr>
          <w:b/>
        </w:rPr>
        <w:t>E. 4.2</w:t>
      </w:r>
    </w:p>
    <w:p>
      <w:r>
        <w:t>Vorliegend rügt die Vorinstanz den Zeitpunkt des Fallabschlusses unter Hinweis auf die laufenden Eingliederungsmassnahmen der IV (E. 2.2 und 2.3 des vorinstanzlichen Entscheids). Dieser Umstand allein reicht indessen nicht aus, um den Unfallversicherer zur Weiterausrichtung der bisherigen Leistungen zu verpflichten. Nach der Rechtsprechung muss der ausstehende Entscheid der Invalidenversicherung über die berufliche Eingliederung Vorkehren betreffen, die geeignet sind, den Anspruch auf eine Invalidenrente der Unfallversicherung zu beeinflussen; ist der noch vorliegende Gesundheitsschaden jedoch nicht unfallkausal, vermag der Umstand des noch ausstehenden Entscheids der IV über die berufliche Eingliederung den Fallabschluss in der Unfallversicherung nicht zu verhindern (SVR 2009 UV Nr. 39 S. 134 E. 3, 8C_304/2008; Urteile 8C_588/2013 vom       16. Januar 2014 E. 3.4 und 8C_205/2013 vom 5. September 2013    E. 3.2.4, je mit weiteren Hinweisen). Zwar hält die Vorinstanz fest, die Eingliederungsmassnahmen der IV seien geeignet, den der Invalidenrente der Unfallversicherung zugrunde zu legenden Invaliditätsgrad zu beeinflussen; sie hat jedoch nicht geprüft, ob die im massgebenden Zeitpunkt noch geklagten Beeinträchtigungen unfallkausal sind oder mit der SUVA deren Adäquanz zu verneinen ist. Es ist somit nicht nachvollziehbar, dass der Fallabschluss tatsächlich zu früh erfolgt sein soll. Die Sache ist demnach unter Aufhebung des Entscheids vom   28. Oktober 2015 an die Vorinstanz zu neuem Entscheid zurückzuweisen.</w:t>
      </w:r>
    </w:p>
    <w:p>
      <w:r>
        <w:rPr>
          <w:b/>
        </w:rPr>
        <w:t>E. 5</w:t>
      </w:r>
    </w:p>
    <w:p>
      <w:r>
        <w:t>Das Verfahren ist kostenpflichtig. Der unterliegende Versicherte hat die Gerichtskosten zu tragen ( Art. 66 Abs. 1 BGG ). Infolge Gewährung der unentgeltlichen Rechtspflege ( Art. 64 Abs. 1 und 2 BGG ) werden diese jedoch vorläufig auf die Bundesgerichtskasse genommen. Der Versicherte hat jedoch der Bundesgerichtskasse Ersatz zu leisten, wenn er später dazu in der Lage ist ( Art. 64 Abs. 4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