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892/2012 vom 29. Juli 2013</w:t>
      </w:r>
    </w:p>
    <w:p>
      <w:r>
        <w:t>Bundesgericht, 2013-07-29, FR</w:t>
      </w:r>
    </w:p>
    <w:p>
      <w:r>
        <w:rPr>
          <w:b/>
        </w:rPr>
        <w:t xml:space="preserve">Quelle: </w:t>
      </w:r>
      <w:r>
        <w:t>https://mcp.opencaselaw.ch/entscheid/bger_8C_892_2012</w:t>
      </w:r>
    </w:p>
    <w:p>
      <w:r>
        <w:t>FR: TF 8C 892/2012 du 29 juillet 2013</w:t>
      </w:r>
    </w:p>
    <w:p>
      <w:r>
        <w:t>IT: TF 8C 892/2012 del 29 luglio 2013</w:t>
      </w:r>
    </w:p>
    <w:p>
      <w:pPr>
        <w:pStyle w:val="Heading2"/>
      </w:pPr>
      <w:r>
        <w:t>Regeste</w:t>
      </w:r>
    </w:p>
    <w:p>
      <w:r>
        <w:t>Assurance-accidents (lien de causalité adéquate)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24 mai 2012, à supprimer le droit de la recourante à des prestations d'assurance (traitement médical et indemnité journalière) à compter du 1 er janvier 2012.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8C_115/2011 du 26 janvier 2012 consid. 2; 8C_39/2010 du 7 septembre 2010 consid. 2).</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ATF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ATF 125 V 456 consid. 5a p. 461 et les références).</w:t>
      </w:r>
    </w:p>
    <w:p>
      <w:r>
        <w:rPr>
          <w:b/>
        </w:rPr>
        <w:t>E. 3.2</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134 V 109 consid. 10.1 p. 126 s.; 129 V 402 consid. 4.4.1 p. 408).</w:t>
      </w:r>
    </w:p>
    <w:p>
      <w:r>
        <w:rPr>
          <w:b/>
        </w:rPr>
        <w:t>E. 4</w:t>
      </w:r>
    </w:p>
    <w:p>
      <w:r>
        <w:t>La juridiction cantonale a laissé indécis le point de savoir s'il existait un lien de causalité naturelle entre l'accident et les troubles sans preuve de déficit organique objectivable (douleurs cervicales et lombaires ainsi que des troubles de la concentration et de la mémoire, une fatigabilité, une difficulté de type dyslexie, des troubles de l'expression et une intolérance au bruit et à la lumière) dont se plaignait encore la recourante au 31 décembre 2011. Mais elle a nié l'existence d'un lien de causalité adéquate entre ces troubles et l'accident - qu'elle a classé à la limite inférieure de la catégorie des accidents de gravité moyenne. Faisant application de la jurisprudence précitée (cf. consid. 3.2 supra), la juridiction cantonale a considéré que seul était réalisé le critère touchant à l'intensité des douleurs, ce qui était insuffisant pour admettre le caractère adéquat du lien de causalité dans le cas d'un accident de gravité moyenne, à la limite des accidents de peu de gravité. Dans la mesure où il est admissible de laisser ouverte la question du rapport de causalité naturelle entre l'accident et les plaintes de l'assurée au motif que ce lien de causalité ne pourrait de toute façon pas être qualifié d'adéquat, c'est à tort que la recourante reproche à la juridiction cantonale de ne pas avoir examiné, respectivement admis l'existence d'un lien de causalité naturelle entre les troubles allégués et l'accident ( ATF 135 V 465 consid. 5.1 p. 472).</w:t>
      </w:r>
    </w:p>
    <w:p>
      <w:r>
        <w:rPr>
          <w:b/>
        </w:rPr>
        <w:t>E. 5.1</w:t>
      </w:r>
    </w:p>
    <w:p>
      <w:r>
        <w:t>En l'occurrence, il est constant que la recourante ne souffre plus d'un déficit organique objectivable consécutif à l'accident du 14 mars 2011. D'ailleurs, la recourante ne conteste pas le jugement cantonal sur ce point. A l'instar des premiers juges, il convient dès lors d'examiner le caractère adéquat du lien de causalité conformément à la jurisprudence applicable en cas de traumatisme de type "coup du lapin" à la colonne cervicale, d'un traumatisme analogue à la colonne cervicale ou d'un traumatisme cranio-cérébral sans preuve d'un déficit organique objectivable ( ATF 134 V 109 ; 117 V 359 ).</w:t>
      </w:r>
    </w:p>
    <w:p>
      <w:r>
        <w:rPr>
          <w:b/>
        </w:rPr>
        <w:t>E. 5.2</w:t>
      </w:r>
    </w:p>
    <w:p>
      <w:r>
        <w:t>Selon la déclaration d'accident, le véhicule de la recourante a été percuté par l'arrière alors qu'il se trouvait à l'arrêt. Il ne ressort d'aucune pièce au dossier à quelle vitesse circulait le véhicule ayant embouti celui de la recourante. Cependant, il n'apparaît pas que le choc ait été particulièrement violent. C'est donc à juste titre que la juridiction cantonale a classé l'accident de la circulation routière parmi les accidents de gravité moyenne à la limite des accidents de peu de gravité. Le critère de la nature particulière des lésions subies n'est pas réuni. L'IRM du 18 mars 2011 n'a pas objectivé des lésions graves ou d'une nature particulière. Quant au traitement médical, il n'a pas été particulièrement long ou pénible et a consisté pour l'essentiel en un traitement antalgique (anti-inflammatoires à la demande) et conservateur, sous la forme de physiothérapie et d'ostéopathie (sur la prise en considération de la nature et de l'intensité du traitement: cf. arrêt 8C_361/2007 du 6 décembre 2007 consid. 5.3; arrêt U 380/04 du 15 mars 2005 [RAMA 2005 no U 549 p. 236] consid. 5.2.4). Il n'apparaît par ailleurs pas que la recourante ait été victime d'une erreur médicale ou que des difficultés soient apparues au cours de la guérison. La recourante ne le prétend pas. Après l'accident, la recourante a été en incapacité de travail totale, à la suite de quoi elle a progressivement repris son activité professionnelle (à 20 % dès le 17 mars, puis à 40 % dès le 6 avril, à 80 % dès le 10 mai, à 90 % dès le 25 juin et enfin à 100 % à partir du 26 juin 2011), de sorte que le critère de l'importance de l'incapacité de travail en dépit des efforts reconnaissables de l'assuré n'est pas non plus rempli. Quant au critère de l'intensité des douleurs, même s'il devait être rempli, il n'est pas à lui seul décisif pour admettre l'existence d'un lien de causalité adéquate dans le cas d'un accident situé à la limite de la catégorie des accidents de gravité moyenne. Il s'ensuit que l'intimée était fondée à supprimer ses prestations au 31 décembre 2011, faute de relation de causalité adéquate entre les troubles persistant à cette date et l'accident assuré.</w:t>
      </w:r>
    </w:p>
    <w:p>
      <w:r>
        <w:rPr>
          <w:b/>
        </w:rPr>
        <w:t>E. 6</w:t>
      </w:r>
    </w:p>
    <w:p>
      <w:r>
        <w:t>La recourante reproche en outre à la juridiction cantonale de ne pas avoir donné suite à sa requête d'entendre l'ensemble des médecins consultés et de ne pas avoir mis en oeuvre une expertise médicale afin de déterminer l'origine de ses troubles actuels, respectivement l'existence d'un lien de causalité naturelle et adéquate entre les troubles persistants et l'accident. Ce grief est mal fondé. La demande de l'assurée tendant à la mise en oeuvre d'une expertise médicale a été refusée, motif pris de l'absence d'un lien de causalité adéquate. L'existence d'un tel lien est en effet une question de droit qui doit être tranchée par le juge à l'aune d'une appréciation juridique (cf. ATF 123 III 110 consid. 2 p. 111). En revanche, le point de savoir si l'origine des troubles constatés est de nature dégénérative ou accidentelle est une question de fait qui concerne la causalité naturelle, laquelle n'est pas déterminante pour trancher le présent litige puisque l'existence de la causalité adéquate a de toute façon été niée (cf. consid. 5 supra). 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