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8C_88/2016 vom 6. April 2016</w:t>
      </w:r>
    </w:p>
    <w:p>
      <w:r>
        <w:t>Bundesgericht, 2016-04-06, DE</w:t>
      </w:r>
    </w:p>
    <w:p>
      <w:r>
        <w:rPr>
          <w:b/>
        </w:rPr>
        <w:t xml:space="preserve">Quelle: </w:t>
      </w:r>
      <w:r>
        <w:t>https://mcp.opencaselaw.ch/entscheid/bger_8C_88_2016</w:t>
      </w:r>
    </w:p>
    <w:p>
      <w:r>
        <w:t>FR: TF 8C_88/2016 du 6 avril 2016</w:t>
      </w:r>
    </w:p>
    <w:p>
      <w:r>
        <w:t>IT: TF 8C_88/2016 del 6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dem Versicherten für die Zeit ab 1. November 2008 keine höhere als eine Viertelsrente der Invalidenversicherung zusprach.</w:t>
      </w:r>
    </w:p>
    <w:p>
      <w:r>
        <w:rPr>
          <w:b/>
        </w:rPr>
        <w:t>E. 3.1</w:t>
      </w:r>
    </w:p>
    <w:p>
      <w:r>
        <w:t>Es ist unbestritten, dass der Versicherte gesundheitsbedingt nicht mehr in der Lage ist, seiner angestammten Tätigkeit als Bodenleger nachzugehen. Aufgrund des Urteils 8C_958/2010 vom 25. Februar 2011 steht sodann fest, dass der Versicherte in der Zeit zwischen November 2007 und dem 26. Februar 2010 in der Lage war, einer leidensangepassten Tätigkeit zu 80 % nachzugehen.</w:t>
      </w:r>
    </w:p>
    <w:p>
      <w:r>
        <w:rPr>
          <w:b/>
        </w:rPr>
        <w:t>E. 3.2</w:t>
      </w:r>
    </w:p>
    <w:p>
      <w:r>
        <w:t>Das kantonale Gericht hat in umfassender Würdigung der medizinischen Akten, insbesondere aber gestützt auf das Verlaufsgutachten des Ärztlichen Begutachtungsinstitutes (ABI), Basel, vom 12. September 2012 für das Bundesgericht grundsätzlich verbindlich festgestellt, dass sich der Gesundheitszustand des Versicherten in der Zeit zwischen dem 26. Februar 2010 und dem 6. Februar 2013 (Datum der angefochtenen Verfügung; vgl. zur Massgeblichkeit dieses Zeitpunkts BGE 132 V 215 E. 3.1.1 S. 220) nicht wesentlich verändert hat. Was der Versicherte gegen diese Feststellung vorbringt, vermag sie nicht als bundesrechtswidrig erscheinen zu lassen. Der Beschwerdeführer hat im kantonalen Verfahren selber vorgebracht, in somatischer Hinsicht sei eine Verschlechterung im Jahre 2014 und damit ausserhalb des vorliegend streitigen Zeitraums eingetreten. Wie die Vorinstanz weiter überzeugend dargelegt hat, kann aus den vom Versicherten eingereichten Berichten des behandelnden Psychiaters ebenfalls nicht auf eine Verschlechterung bis zum 6. Februar 2013 geschlossen werden. Anzumerken ist insbesondere, dass dieser in seinem Bericht vom 4. Dezember 2012 keine Verschlechterung erwähnt hatte.</w:t>
      </w:r>
    </w:p>
    <w:p>
      <w:r>
        <w:rPr>
          <w:b/>
        </w:rPr>
        <w:t>E. 3.3</w:t>
      </w:r>
    </w:p>
    <w:p>
      <w:r>
        <w:t>Ist es in der Zeit zwischen dem 26. Februar 2010 und dem 6. Februar 2013 zu keiner wesentlichen Verschlechterung des Gesundheitszustandes gekommen, so durfte die Vorinstanz ohne weiteres von einer 80 %-igen Arbeitsfähigkeit des Versicherten in einer angepassten Tätigkeit für den gesamten vorliegend streitigen Zeitraum (November 2007 bis Februar 2013) ausgehen. Eine Prüfung der Indikatoren nach BGE 141 V 281 ist bei dieser Ausgangslage (vgl. E. 3.1 hievor) nicht vorzunehmen (vgl. BGE 141 V 585 E. 5 S. 587 ff.). Daher erübrigen sich auch die - subeventualiter - beantragten weiteren Abklärungen.</w:t>
      </w:r>
    </w:p>
    <w:p>
      <w:r>
        <w:rPr>
          <w:b/>
        </w:rPr>
        <w:t>E. 3.4</w:t>
      </w:r>
    </w:p>
    <w:p>
      <w:r>
        <w:t>In seinem (Zwischen-) Entscheid vom 9. November 2010 hat das kantonale Gericht erwogen, ohne Gesundheitsschaden wäre der Versicherte im November 2008 überwiegend wahrscheinlich zwar noch als Bodenleger, jedoch nicht mehr im Akkord erwerbstätig gewesen. Bodenlegen im Akkord sei eine Tätigkeit mit hohem gesundheitlichen Verschleiss und ständiger Überforderung. Eine solche könne langfristig nicht durchgehalten werden. Das Bundesgericht ist in seinem Urteil 8C_958/2010 vom 25. Februar 2011 nicht auf die entsprechenden Rügen des Beschwerdeführers eingetreten, weshalb diese grundsätzlich im vorliegenden Verfahren zu hören wären (vgl. Art. 93 Abs. 3 BGG ). In seinem Entscheid aus dem Jahr 2010 hat das kantonale Gericht indessen auch festgehalten, bei Akkordarbeit würde der Versicherte ein Einkommen von Fr. 84'000.- erzielen. Würde man zu Gunsten des Beschwerdeführers von diesem Einkommen ausgehen, so ergäbe sich bei einem Invalideneinkommen von Fr. 43'185.- (für das Jahr 2008) eine invaliditätsbedingte Einbusse von Fr. 40'815.- und damit ein Invaliditätsgrad von 49 %. Auch diesfalls bestünde demnach nur ein Anspruch auf eine Viertelsrente, womit die Frage, ob der Versicherte ab November 2008 weiterhin Akkordarbeit geleistet hätte, offenbleiben kann. Die Beschwerde des Versicherten ist somit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