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88/2012 vom 5. Juni 2012</w:t>
      </w:r>
    </w:p>
    <w:p>
      <w:r>
        <w:t>Bundesgericht, 2012-06-05, DE</w:t>
      </w:r>
    </w:p>
    <w:p>
      <w:r>
        <w:rPr>
          <w:b/>
        </w:rPr>
        <w:t xml:space="preserve">Quelle: </w:t>
      </w:r>
      <w:r>
        <w:t>https://mcp.opencaselaw.ch/entscheid/bger_8C_88_2012</w:t>
      </w:r>
    </w:p>
    <w:p>
      <w:r>
        <w:t>FR: TF 8C 88/2012 du 5 juin 2012</w:t>
      </w:r>
    </w:p>
    <w:p>
      <w:r>
        <w:t>IT: TF 8C 88/2012 del 5 giugno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zu Recht ihre Leistungen per 30. Juni 2010 eingestellt hat.</w:t>
      </w:r>
    </w:p>
    <w:p>
      <w:r>
        <w:rPr>
          <w:b/>
        </w:rPr>
        <w:t>E. 3</w:t>
      </w:r>
    </w:p>
    <w:p>
      <w:r>
        <w:t>Die Zusprechung von Leistungen der obligatorischen Unfallversicherung setzt grundsätzlich das Vorliegen eines Berufsunfalles, eines Nichtberufsunfalles oder einer Berufskrankheit voraus ( Art. 6 Abs. 1 UVG ). Das kantonale Gericht hat die dabei zu beachtende Rechtsprechung zu dem für die Leistungspflicht vorausgesetzten natürlichen Kausalzusammenhang zwischen dem Unfall und dem eingetretenen Schaden (Krankheit, Invalidität, Tod; BGE 129 V 177 E. 3.1 S. 181 mit Hinweisen) und zum Dahinfallen des natürlichen Kausalzusammenhanges bei Erreichen des Status quo sine (vgl. RKUV 2000 U 363 S. 45, U 355/98 E. 2) zutreffend dargelegt. Darauf wird verwiesen.</w:t>
      </w:r>
    </w:p>
    <w:p>
      <w:r>
        <w:rPr>
          <w:b/>
        </w:rPr>
        <w:t>E. 4.1</w:t>
      </w:r>
    </w:p>
    <w:p>
      <w:r>
        <w:t>Es steht fest und ist unbestritten, dass der Beschwerdeführer am 6. Februar 2009 einen Unfall erlitten hat und sich an der Schulter verletzte. Das kantonale Gericht hat in umfassender Würdigung der medizinischen Akten erwogen, die vom Versicherten über den 30. Juni 2010 hinaus geklagten Beschwerden an der Wirbelsäule seien nicht Folge dieses Ereignisses. Was der Beschwerdeführer gegen diese Feststellung vorbringt, vermag nicht zu überzeugen. Soweit ersichtlich hat keine medizinische Fachperson einen Kausalzusammenhang zwischen dem Unfall und den über dieses Datum hinaus geklagten Wirbelsäule-Beschwerden bejaht. Insbesondere ist darauf hinzuweisen, dass auch Dr. med. M.________ in ihrem Bericht vom 23. November 2010 davon ausgeht, dass bezüglich dieser Beschwerden der Status quo sine wieder erreicht ist.</w:t>
      </w:r>
    </w:p>
    <w:p>
      <w:r>
        <w:rPr>
          <w:b/>
        </w:rPr>
        <w:t>E. 4.2</w:t>
      </w:r>
    </w:p>
    <w:p>
      <w:r>
        <w:t>Der Beschwerdeführer macht weiter geltend, auch unter der Annahme, nur die Schulterbeschwerden seien unfallkausal, würde ein Taggeldanspruch bzw. ein Rentenanspruch bestehen. Dem kann indessen nicht gefolgt werden. Zwar trifft es zu, dass Dr. med. M.________ eine 25 bis 30 %-ige Einschränkung der Arbeitsfähigkeit aufgrund der Schulterproblematik postuliert. Bereits vor dem Unfall war der Versicherte indessen aufgrund der Rückenproblematik teilweise invalid und konnte aus diesem Grund nur ein 50 %-Pensum verrichten. Entgegen seinen Vorbringen ist dem Bericht der Dr. med. M.________ nicht zu entnehmen, die zuletzt ausgeübte Tätigkeit sei alleine aufgrund der Schulterbeschwerden nicht mehr zumutbar. Auch wenn man bezüglich der Schulterproblematik in zeitlicher Hinsicht die Arbeitsfähigkeitsschätzung die Meinung dieser Ärztin zu Grunde legt, kann der Beschwerdeführer sein vor dem Unfall ausgeübtes Pensum weiterhin ausführen. Demnach besteht weder eine Grundlage für weitere Taggeldzahlungen noch eine solche für die Ausrichtung von Rentenleistungen. Ebenfalls besteht kein Anspruch auf weitere Übernahme der Heilbehandlungskosten durch die Unfallversicherung. Somit haben Vorinstanz und Verwaltung zu Recht die entsprechenden Leistungen verweigert;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