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8C_889/2013 vom 19. Juni 2014</w:t>
      </w:r>
    </w:p>
    <w:p>
      <w:r>
        <w:t>Bundesgericht, 2014-06-19, DE</w:t>
      </w:r>
    </w:p>
    <w:p>
      <w:r>
        <w:rPr>
          <w:b/>
        </w:rPr>
        <w:t xml:space="preserve">Quelle: </w:t>
      </w:r>
      <w:r>
        <w:t>https://mcp.opencaselaw.ch/entscheid/bger_8C_889_2013</w:t>
      </w:r>
    </w:p>
    <w:p>
      <w:r>
        <w:t>FR: TF 8C_889/2013 du 19 juin 2014</w:t>
      </w:r>
    </w:p>
    <w:p>
      <w:r>
        <w:t>IT: TF 8C_889/2013 del 19 giugno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1.3</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vom Bundesamt für Statistik herausgegebenen schweizerischen Lohnstrukturerhebung (LSE).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massgebende Tabelle ist ( BGE 132 V 393 E. 3.3 S. 399; Urteil 8C_255/2007 vom 12. Juni 2008 E. 1.2, nicht publ. in: BGE 134 V 322 ), die Wahl der zutreffenden Stufe (Anforderungsniveau 1 und 2, 3 oder 4; Urteil 9C_206/2012 vom 7. Mai 2012 E. 3.2 mit Hinweisen) und des zu berücksichtigenden Wirtschaftszweigs oder Totalwertes (Urteil 8C_944/2011 vom 17. April 2012 E. 1.2 mit Hinweis) sowie die Frage, ob ein (behinderungsbedingt oder anderweitig begründeter) Leidensabzug vorzunehmen sei (Urteil 8C_558/2013 vom 2. April 2014 E. 1.2).</w:t>
      </w:r>
    </w:p>
    <w:p>
      <w:r>
        <w:rPr>
          <w:b/>
        </w:rPr>
        <w:t>E. 2</w:t>
      </w:r>
    </w:p>
    <w:p>
      <w:r>
        <w:t>Streitig und zu prüfen ist, ob das kantonale Gericht Bundesrecht verletzte, indem es den Anspruch auf Umschulung verneinte. Dabei steht fest, dass der Beschwerdeführer in der zuletzt ausgeübten Tätigkeit im Fassadenbau nicht mehr, in einer behinderungsangepassten Tätigkeit jedoch 100 % arbeitsfähig ist. Bestritten sind die Ermittlung des Invaliditätsgrades und dabei namentlich die dem Einkommensvergleich zu Grunde gelegten Vergleichseinkommen.</w:t>
      </w:r>
    </w:p>
    <w:p>
      <w:r>
        <w:t>Die hiefür massgeblichen Rechtsgrundlagen ( Art. 17 Abs. 1 IVG ; Art. 16 ATSG ; vgl. auch Art. 8 Abs. 1 IVG und Art. 6 Abs. 1 IVV sowie BGE 130 V 488 E. 4.2 S. 489 mit Hinweisen) hat die Vorinstanz zutreffend dargelegt. Darauf wird verwiesen.</w:t>
      </w:r>
    </w:p>
    <w:p>
      <w:r>
        <w:rPr>
          <w:b/>
        </w:rPr>
        <w:t>E. 3.1</w:t>
      </w:r>
    </w:p>
    <w:p>
      <w:r>
        <w:t>Was zunächst das streitige Valideneinkommen anbelangt, hat die Vorinstanz erwogen, der Versicherte wäre auch im Gesundheitsfall nicht mehr im Fassadenbau bei der Firma B.________ AG tätig, weshalb sie die von der IV-Stelle vorgenommene Ermittlung des Valideneinkommens anhand von Tabellenlöhnen, mithin gestützt auf die Lohnstrukturerhebung (LSE) 2010, Tabelle TA1, Ziff. 41 "Hochbau", Anforderungsniveau 4, unter Zugrundelegung einer wöchentlichen Durchschnittsarbeitszeit von 42 Stunden (aufgewertet um die Nominallohnerhöhung für das Jahr 2011) bestätigte und von einem Valideneinkommen für das Jahr 2011 von Fr. 68'975.- ausging.</w:t>
      </w:r>
    </w:p>
    <w:p>
      <w:r>
        <w:rPr>
          <w:b/>
        </w:rPr>
        <w:t>E. 3.2</w:t>
      </w:r>
    </w:p>
    <w:p>
      <w:r>
        <w:t>Der Beschwerdeführer wendet ein, bei der Ermittlung des Valideneinkommens anhand von Tabellenlöhnen sei nicht auf eine Hilfsarbeitertätigkeit abzustellen, sondern sei davon auszugehen, dass er langfristig in der Lage sei, mindestens das Lohnniveau für die Verrichtung selbstständiger und qualifizierter Arbeiten zu erreichen. Abzustellen sei demzufolge auf das Anforderungsniveau 2 oder allenfalls auf den Mittelwert Anforderungsniveau 1+2 - 3 von Tabelle TA1 Ziff. 41.</w:t>
      </w:r>
    </w:p>
    <w:p>
      <w:r>
        <w:rPr>
          <w:b/>
        </w:rPr>
        <w:t>E. 3.3</w:t>
      </w:r>
    </w:p>
    <w:p>
      <w:r>
        <w:t>Für die Ermittlung des Valideneinkommens ist entscheidend, was der Versicherte nach dem Beweisgrad der überwiegenden Wahrscheinlichkeit als Gesunder tatsächlich verdient hätte. Dabei wird in der Regel am zuletzt erzielten, nötigenfalls der Teuerung und der realen Einkommensentwicklung angepassten Lohn angeknüpft, da es der Erfahrung entspricht, dass die bisherige Tätigkeit ohne Gesundheitsschaden fortgesetzt worden wäre. Ausnahmen müssen mit überwiegender Wahrscheinlichkeit erstellt sein ( BGE 139 V 28 E. 3.3.2 S. 30 mit Hinweisen). Beim Abstellen auf Erfahrungs- und Durchschnittswerte sind die für die Entlöhnung im Einzelfall relevanten persönlichen und beruflichen Faktoren mitzuberücksichtigen. Da die Invaliditätsbemessung der voraussichtlich bleibenden oder längere Zeit dauernden Erwerbsunfähigkeit zu entsprechen hat, ist auch die berufliche Weiterentwicklung mitzuberücksichtigen,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 BGE 139 V 28 E. 3.3.3.2 S. 31; Urteil 9C_448/2013 vom 4. Juli 2013 E. 2.2).</w:t>
      </w:r>
    </w:p>
    <w:p>
      <w:r>
        <w:rPr>
          <w:b/>
        </w:rPr>
        <w:t>E. 3.4</w:t>
      </w:r>
    </w:p>
    <w:p>
      <w:r>
        <w:t>Das Heranziehen von Tabellenlöhnen für die Ermittlung des Valideneinkommens ist nicht streitig und zu Recht erfolgt, da die zuletzt ausgeübte Tätigkeit im Fassadenbau per 31. März 2011 aus wirtschaftlichen Gründen gekündigt worden ist. Streitig und zu prüfen ist lediglich, auf welches Anforderungsniveau bei der Tabelle TA1, Ziff. 41 "Hochbau" abzustellen ist. Diesbezüglich hat die Vorinstanz überzeugend dargetan, dass der Beschwerdeführer wohl 1988 bis 1991 eine Ausbildung zum Werkzeugmacher und vor seiner Einreise in die Schweiz im August 2008 einen Weiterbildungslehrgang "Neue Technologien" absolviert sowie die Schweissprüfbescheinigung erlangt hat, dass er jedoch seit seiner Einreise in die Schweiz aus invaliditätsfremden Gründen Hilfsarbeitertätigkeiten ausgeübt hat und zuletzt seit November 2009 im Fassadenbau tätig gewesen ist (). Deshalb - so das kantonale Gericht - sei mit überwiegender Wahrscheinlichkeit davon auszugehen, dass der Versicherte auch weiterhin nicht auf seinem erlernten Beruf tätig gewesen wäre. Die Festsetzung des Valideneinkommens ausgehend vom Anforderungsniveau 4 ist somit nicht bundesrechtswidrig, zumal keine Anhaltspunkte für eine Tätigkeit im erlernten Beruf oder für einen beruflichen Aufstieg im Gesundheitsfall ersichtlich sind. Was der Beschwerdeführer - weitgehend in Wiederholung des bereits vorinstanzlich Vorgebrachten - dagegen einwendet, vermag keine Bundesrechtsverletzung zu begründen.</w:t>
      </w:r>
    </w:p>
    <w:p>
      <w:r>
        <w:rPr>
          <w:b/>
        </w:rPr>
        <w:t>E. 4.1</w:t>
      </w:r>
    </w:p>
    <w:p>
      <w:r>
        <w:t>Was sodann die Ermittlung des Invalideneinkommens anbelangt, hat das kantonale Gericht das Vorgehen der IV-Stelle bestätigt, welche anhand der LSE, Tabelle TA1, Anforderungsniveau 4, für das Jahr 2011 von einem Einkommen von Fr. 61'776.- ausgegangen ist. Der Beschwerdeführer macht sinngemäss lediglich geltend, es sei ein leidensbedingter Abzug zu berücksichtigen.</w:t>
      </w:r>
    </w:p>
    <w:p>
      <w:r>
        <w:rPr>
          <w:b/>
        </w:rPr>
        <w:t>E. 4.2</w:t>
      </w:r>
    </w:p>
    <w:p>
      <w:r>
        <w:t>Die Frage, ob ein leidensbedingter Abzug vorzunehmen sei, ist rechtlicher Natur; die Höhe des Abzugs kann demgegenüber nur im Hinblick auf Ermessensüberschreitung, -missbrauch oder -unterschreitung als Formen rechtsfehlerhafter ( Art. 95 lit. a BGG ) Ermessensbetätigung gerügt werden ( BGE 137 V 71 E. 5.1 S. 72; 132 V 393 E. 3.3 S. 399).</w:t>
      </w:r>
    </w:p>
    <w:p>
      <w:r>
        <w:rPr>
          <w:b/>
        </w:rPr>
        <w:t>E. 4.3</w:t>
      </w:r>
    </w:p>
    <w:p>
      <w:r>
        <w:t>In Anbetracht des Umstandes, dass der Beschwerdeführer in einer leidensangepassten Tätigkeit vollumfänglich arbeitsfähig ist und seinen gesundheitlichen Einschränkungen mit dem Abstellen auf den Durchschnittswert der Hilfsarbeiten der Tabellenlöhne Rechnung getragen wurde, ist nicht zu beanstanden, dass kein Abzug vom Tabellenlohn wegen leidensbedingten Einschränkungen vorgenommen wurde.</w:t>
      </w:r>
    </w:p>
    <w:p>
      <w:r>
        <w:rPr>
          <w:b/>
        </w:rPr>
        <w:t>E. 5</w:t>
      </w:r>
    </w:p>
    <w:p>
      <w:r>
        <w:t>Zusammenfassend resultiert aus der Gegenüberstellung des Valideneinkommens von Fr. 68'975.- und dem Invalideneinkommen von Fr. 61'776.- ein Invaliditätsgrad von 10 %, welcher keinen Anspruch auf Umschulung zu begründen vermag. Die Beschwerde ist somit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