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886/2011 vom 4. April 2012</w:t>
      </w:r>
    </w:p>
    <w:p>
      <w:r>
        <w:t>Bundesgericht, 2012-04-04, DE</w:t>
      </w:r>
    </w:p>
    <w:p>
      <w:r>
        <w:rPr>
          <w:b/>
        </w:rPr>
        <w:t xml:space="preserve">Quelle: </w:t>
      </w:r>
      <w:r>
        <w:t>https://mcp.opencaselaw.ch/entscheid/bger_8C_886_2011</w:t>
      </w:r>
    </w:p>
    <w:p>
      <w:r>
        <w:t>FR: TF 8C 886/2011 du 4 avril 2012</w:t>
      </w:r>
    </w:p>
    <w:p>
      <w:r>
        <w:t>IT: TF 8C 886/2011 del 4 aprile 2012</w:t>
      </w:r>
    </w:p>
    <w:p>
      <w:pPr>
        <w:pStyle w:val="Heading2"/>
      </w:pPr>
      <w:r>
        <w:t>Regeste</w:t>
      </w:r>
    </w:p>
    <w:p>
      <w:r>
        <w:t>Invalidenversicherung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 Die aufgrund medizinischer Untersuchungen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8C_594/2011 vom 20. Oktober 2011 E. 1).</w:t>
      </w:r>
    </w:p>
    <w:p>
      <w:r>
        <w:rPr>
          <w:b/>
        </w:rPr>
        <w:t>E. 2</w:t>
      </w:r>
    </w:p>
    <w:p>
      <w:r>
        <w:t>Streitig und zu prüfen ist der Anspruch auf eine Invalidenrente der Invalidenversicherung ab Oktober 2008. Das kantonale Gericht hat die Bestimmungen über die Begriffe Invalidität ( Art. 8 Abs. 1 ATSG ) und Erwerbsunfähigkeit ( Art. 7 ATSG ) zutreffend dargelegt. Gleiches gilt für die Grundsätze über die Beweiswürdigung, insbesondere im Hinblick auf ärztliche Berichte und Gutachten ( BGE 125 V 351 E. 3a S. 352 mit Hinweis).</w:t>
      </w:r>
    </w:p>
    <w:p>
      <w:r>
        <w:rPr>
          <w:b/>
        </w:rPr>
        <w:t>E. 3.1</w:t>
      </w:r>
    </w:p>
    <w:p>
      <w:r>
        <w:t>Nach umfassender Auseinandersetzung mit den medizinischen Akten gelangte die Vorinstanz zum Ergebnis, in der angestammten Tätigkeit als Pflegehelferin wie auch in einer anderen angepassten Tätigkeit bestehe eine Arbeitsfähigkeit von 80 %. Diese Beurteilung stützt sich namentlich auf das im Rahmen der medizinischen Abklärungen von der IV-Stelle eingeholte Gutachten des Dr. med. M.________ vom 20. Oktober 2010. Die Notwendigkeit weiterer medizinischer Abklärungen hat sie verneint.</w:t>
      </w:r>
    </w:p>
    <w:p>
      <w:r>
        <w:rPr>
          <w:b/>
        </w:rPr>
        <w:t>E. 3.2</w:t>
      </w:r>
    </w:p>
    <w:p>
      <w:r>
        <w:t>Aus psychiatrischer Sicht stellt Dr. med. M.________ die Diagnosen einer Dysthymia (ICD-10: F34.1) sowie von akzentuierten Persönlichkeitszügen mit histrionischen Zügen (ICD-10: Z73.1). Letztere habe keine Auswirkung auf die Arbeitsfähigkeit. Aus der erstgenannten Diagnose resultieren demnach geringgradige und fluktuierend vorhandene funktionelle Einbussen. Bei einem in zeitlicher Hinsicht vollen Arbeitspensum (8.4 Stunden während fünf Tagen in der Woche) bewirkten die Störungen eine verminderte Toleranz gegenüber Stress und Hektik, eine erhöhte Ermüdungs- und Erschöpfungsneigung und eine leicht erhöhte Kränkbarkeit, was zu einer Verminderung der Arbeitsfähigkeit um 20 % führe.</w:t>
      </w:r>
    </w:p>
    <w:p>
      <w:r>
        <w:rPr>
          <w:b/>
        </w:rPr>
        <w:t>E. 3.3</w:t>
      </w:r>
    </w:p>
    <w:p>
      <w:r>
        <w:t>Die Tatsachenfeststellungen des kantonalen Gerichts, namentlich die aus den medizinischen Akten gewonnene Erkenntnis, wonach eine Arbeits- und Leistungsfähigkeit in einer körperlich angepassten Tätigkeit - wozu auch die früher ausgeübte als Pflegehilfe gehört - von 80 %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hievor).</w:t>
      </w:r>
    </w:p>
    <w:p>
      <w:r>
        <w:rPr>
          <w:b/>
        </w:rPr>
        <w:t>E. 4</w:t>
      </w:r>
    </w:p>
    <w:p>
      <w:r>
        <w:t>Gemäss der in der Beschwerde vertretenen Auffassung ist die vorinstanzliche Beurteilung in verschiedener Hinsicht offensichtlich unrichtig und rechtsfehlerhaft.</w:t>
      </w:r>
    </w:p>
    <w:p>
      <w:r>
        <w:rPr>
          <w:b/>
        </w:rPr>
        <w:t>E. 4.1</w:t>
      </w:r>
    </w:p>
    <w:p>
      <w:r>
        <w:t>Die Beschwerdeführerin rügt zunächst, das psychiatrische Gutachten des Dr. med. M.________ vom 20. Oktober 2010 könne nicht als beweiskräftig erachtet werden und als Entscheidungsgrundlage für die Beurteilung ihrer Leistungsansprüche dienen. Der Experte habe sich nicht hinreichend mit dem vom behandelnden Psychiater in einem separaten Schreiben an den Gutachter erwähnten psychischen Trauma und dessen Auswirkungen auseinandergesetzt. Im weiteren sei nicht auszuschliessen, dass der Gutachter in einem gewissen Umfang voreingenommen gewesen sei.</w:t>
      </w:r>
    </w:p>
    <w:p>
      <w:r>
        <w:rPr>
          <w:b/>
        </w:rPr>
        <w:t>E. 4.2</w:t>
      </w:r>
    </w:p>
    <w:p>
      <w:r>
        <w:t>Die Kritik der Beschwerdeführerin an der vorinstanzlichen Würdigung der medizinischen Unterlagen ist nicht stichhaltig. Das kantonale Gericht hat insbesondere kein Bundesrecht verletzt, wenn es dem erwähnten Gutachten vollen Beweiswert zuerkannte. Dieses entspricht grundsätzlich den von der Rechtsprechung aufgestellten Kriterien für eine beweiskräftige Expertise (vgl. BGE 134 V 231 E. 5.1 S. 232 mit Hinweis). Die psychiatrische Exploration durch Dr. med. M.________ umfasst eine ausführliche Anamnese, ergänzende subjektive Angaben, eine Darstellung der Befunde, eine sehr ausführliche psychiatrische Beurteilung, eine begründete Einschätzung der Arbeitsfähigkeit und die Auswirkungen des psychischen Gesundheitszustandes auf die Eingliederungsfähigkeit sowie eine Stellungnahme zu den früheren psychiatrischen Zeugnissen, Diagnosen und Berichten. Insbesondere zur abweichenden Einschätzung des behandelnden Dr. med. F.________, Facharzt für Psychiatrie und Psychotherapie FMH, hat sich der Experte eingehend geäussert. Dr. med. M.________ erhob keine Befunde, welche eine weitere Abklärung erfordern würde, sodass der Kritik an der psychiatrischen Exploration - soweit sie nicht appellatorischer Natur ist und demzufolge ausser Acht bleiben muss - nicht gefolgt werden kann. Ebenso entbehrt der Vorwurf der Voreingenommenheit des Experten jeder objektiven Grundlage. Im Gutachten werden widersprüchliches Verhalten und diskrepante Berichte dargestellt, wo diese gefunden wurden. Der Arzt begründet seine diesbezüglichen Erkenntnisse ausdrücklich und überzeugend. Daraus auf den Anschein einer Voreingenommenheit gegenüber der zu explorierenden Person zu schliessen, ist verfehlt.</w:t>
      </w:r>
    </w:p>
    <w:p>
      <w:r>
        <w:rPr>
          <w:b/>
        </w:rPr>
        <w:t>E. 4.3</w:t>
      </w:r>
    </w:p>
    <w:p>
      <w:r>
        <w:t>Das kantonale Gericht konnte somit ohne Verletzung von Bundesrecht zum Schluss kommen, es sei nicht mit dem Beweisgrad der überwiegenden Wahrscheinlichkeit ausgewiesen, dass vor der Begutachtung im August 2010 eine relevante Arbeitsunfähigkeit von mehr als 20 % bestanden hatte und von weiteren Abklärungen keine weiteren Erkenntnisse zur Eruierung der Arbeitsfähigkeit vor September 2010 zu erwarten seien. Damit hat das kantonale Gericht zu Recht festgestellt, dass keine während eines Jahres ohne wesentlichen Unterbruch andauernde durchschnittliche 40%ige Arbeitsunfähigkeit bestand und damit das Wartejahr gemäss Art. 28 Abs. 1 IVG nicht erfüllt ist. Es bestand daher keine Notwendigkeit, einen Invaliditätsgrad im Verfügungszeitpunkt zu ermitteln. Indessen ist gegen die vorinstanzlichen Ausführungen, wonach bei einer zumutbaren Arbeitsfähigkeit in der bisherigen, wie auch einer anderen Tätigkeit von 80 % ein rentenausschliessender Invaliditätsgrad von 20 % besteht, nichts einzuwenden.</w:t>
      </w:r>
    </w:p>
    <w:p>
      <w:r>
        <w:rPr>
          <w:b/>
        </w:rPr>
        <w:t>E. 5</w:t>
      </w:r>
    </w:p>
    <w:p>
      <w:r>
        <w:t>Die Beschwerde hatte keine Aussicht auf Erfolg, weshalb sie im vereinfachten Verfahren nach Art. 109 BGG als offensichtlich unbegründet (Abs. 2 lit. a) ohne Durchführung des Schriftenwechsels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