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8C_885/2013 vom 11. März 2014</w:t>
      </w:r>
    </w:p>
    <w:p>
      <w:r>
        <w:t>Bundesgericht, 2014-03-11, DE</w:t>
      </w:r>
    </w:p>
    <w:p>
      <w:r>
        <w:rPr>
          <w:b/>
        </w:rPr>
        <w:t xml:space="preserve">Quelle: </w:t>
      </w:r>
      <w:r>
        <w:t>https://mcp.opencaselaw.ch/entscheid/bger_8C_885_2013</w:t>
      </w:r>
    </w:p>
    <w:p>
      <w:r>
        <w:t>FR: TF 8C_885/2013 du 11 mars 2014</w:t>
      </w:r>
    </w:p>
    <w:p>
      <w:r>
        <w:t>IT: TF 8C_885/2013 del 11 marzo 2014</w:t>
      </w:r>
    </w:p>
    <w:p>
      <w:pPr>
        <w:pStyle w:val="Heading2"/>
      </w:pPr>
      <w:r>
        <w:t>Erwägungen</w:t>
      </w:r>
    </w:p>
    <w:p>
      <w:r>
        <w:rPr>
          <w:b/>
        </w:rPr>
        <w:t>E. 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(vgl. Botschaft vom 28. Februar 2001 zur Totalrevision der Bundesrechtspflege, BBl 2001 S. 4236 Ziff. 2.3.1.2).</w:t>
      </w:r>
    </w:p>
    <w:p>
      <w:r>
        <w:rPr>
          <w:b/>
        </w:rPr>
        <w:t>E. 2</w:t>
      </w:r>
    </w:p>
    <w:p>
      <w:r>
        <w:t>Ein schutzwürdiges, aktuelles Interesse der Hinterlassenen an der Fortführung des kantonalen gerichtlichen Verfahrens zur Frage des Rentenanspruchs des Verstorbenen ist nicht auszumachen. Der Grund für die Gegenstandsloserklärung liegt in der Ausschlagung und anschliessenden Liquidation der Erbmasse. Durch die rechtskräftige Einstellung der konkursamtlichen Liquidation mangels Aktiven wurde sämtlichen gegen die und aus der Erbmasse stammenden Forderungen, worunter auch die bei der Vorinstanz anhängig gewesene zu zählen ist, die Grundlage entzogen. Soweit sinngemäss geltend gemacht wird, ohne vorgängigen Rentenentscheid der Invalidenversicherung bestehe kein Anspruch auf eine BVG-Hinterlassenenleistung, ist dies unzutreffend. Art. 18 lit. d BVG als Anspruchsgrundlage knüpft an BVG-Renten des Verstorbenen. Eine BVG-Rente setzt wiederum nicht zwingend einen vorgängigen IV-Rentenentscheid voraus. Abgesehen davon bindet ein solcher die Vorsorgeeinrichtung nur unter bestimmten Voraussetzungen (dazu siehe etwa: BGE 138 V 409 E. 3.1 S. 414; 132 V 1 E. 3.2 S. 4). Wollen die Hinterlassenen Leistungen des Vorsorgeversicherers des Verstorbenen erwirken, können und müssen sie sich an diesen halten und gegebenenfalls den in Art. 73 BVG dafür vorgesehenen Klageweg beschreiten. Der Vorsorgeversicherer und im Klagefall das Vorsorgegericht wird alsdann allenfalls vorfrageweise die BVG-Rentenanspruchsfrage des Verstorbenen zu beantworten und dabei den Invaliditätsgrad selbstständig festzulegen haben.</w:t>
      </w:r>
    </w:p>
    <w:p>
      <w:r>
        <w:rPr>
          <w:b/>
        </w:rPr>
        <w:t>E. 3</w:t>
      </w:r>
    </w:p>
    <w:p>
      <w:r>
        <w:t>Die Gerichtskosten sind gemäss Art. 66 Abs. 1 Satz 1 BGG ausgangsgemäss den Beschwerdeführerinnen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