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882/2011 vom 29. Februar 2012</w:t>
      </w:r>
    </w:p>
    <w:p>
      <w:r>
        <w:t>Bundesgericht, 2012-02-29, DE</w:t>
      </w:r>
    </w:p>
    <w:p>
      <w:r>
        <w:rPr>
          <w:b/>
        </w:rPr>
        <w:t xml:space="preserve">Quelle: </w:t>
      </w:r>
      <w:r>
        <w:t>https://mcp.opencaselaw.ch/entscheid/bger_8C_882_2011</w:t>
      </w:r>
    </w:p>
    <w:p>
      <w:r>
        <w:t>FR: TF 8C 882/2011 du 29 février 2012</w:t>
      </w:r>
    </w:p>
    <w:p>
      <w:r>
        <w:t>IT: TF 8C 882/2011 del 29 febbraio 2012</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(nicht publ. E. 1 des Urteils BGE 135 V 194 , aber in: SVR 2009 UV Nr. 35 S. 120 [8C_934/2008]).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angefochtenen Gerichtsentscheid und im Einspracheentscheid werden die zur Beurteilung der Leistungspflicht des Unfallversicherers erforderlichen Rechtsgrundlagen zutreffend dargelegt, worauf verwiesen wird ( Art. 109 Abs. 3 BGG ).</w:t>
      </w:r>
    </w:p>
    <w:p>
      <w:r>
        <w:rPr>
          <w:b/>
        </w:rPr>
        <w:t>E. 3.1</w:t>
      </w:r>
    </w:p>
    <w:p>
      <w:r>
        <w:t>Nach Würdigung der medizinischen Akten hat die Vorinstanz erkannt, dass dem Beschwerdeführer aufgrund der zu berücksichtigenden somatischen Unfallfolgen (konsolidierte Frakturen [Calcaneus und LWK2 sowie BWK12] ohne radikuläre Symptome) sämtliche leichten bis mittelschweren Tätigkeiten ganztags zumutbar sind. Dies wird nicht bestritten. Weiter ist sie zum Schluss gelangt, dass es sich bei den vom Beschwerdeführer geklagten Beschwerden um organisch nicht nachweisbare psychische Beschwerden handelt. Was diese Beschwerden angeht, hat sie mit Verweis auf den Einspracheentscheid in Anwendung der rechtsprechungsgemässen Kriterien ( BGE 115 V 133 E. 6c/aa S. 140) bestätigt, dass die Adäquanz eines Kausalzusammenhangs zum Unfallereignis vom 9. Oktober 2009 nicht gegeben ist, nachdem keines der für die Bejahung der Adäquanz bei mittelschweren Unfällen massgebenden Zusatzkriterien erfüllt sei. Dies ist nicht zu beanstanden. Den Erwägungen im angefochtenen Entscheid, worauf verwiesen wird, kann vollumfänglich beigepflichtet werden.</w:t>
      </w:r>
    </w:p>
    <w:p>
      <w:r>
        <w:rPr>
          <w:b/>
        </w:rPr>
        <w:t>E. 3.2</w:t>
      </w:r>
    </w:p>
    <w:p>
      <w:r>
        <w:t>Die in der Beschwerde erhobenen Einwendungen vermögen an diesem Ergebnis nichts zu ändern. Insbesondere ist entgegen dem Beschwerdeführer ein Sturz aus 3,2 m Höhe rechtsprechungsgemäss nicht als schwerer Unfall einzustufen (vgl. Urteil 8C_584/2010 vom 11. März 2011 mit Hinweisen). Auch wenn dem Unfall vom 9. Oktober 2009 aufgrund der Sturzhöhe eine gewisse Eindrücklichkeit nicht abgesprochen werden kann, liegen sodann nicht Umstände vor, die zur Bejahung einer besonderen Dramatik oder besonderen Eindrücklichkeit führen könnten. Entgegen dem Beschwerdeführer sind zudem die erlittenen somatischen Verletzungen nicht von besonderer Schwere und Art, insbesondere liegen keine Verletzungen vor, die erfahrungsgemäss geeignet sind, psychische Fehlentwicklungen auszulösen. Inwiefern die Kriterien der körperlichen Dauerschmerzen sowie der ungewöhnlich langen Dauer der ärztlichen Behandlung erfüllt sein sollen, wird nicht substanziiert begründet. Die angeführte intensive psychotherapeutische Behandlung ist in diesem Zusammenhang nicht zu beachten (vgl. Urteil 8C_933/2009 vom 28. April 2010 E. 4.2). Bei dieser Ausgangslage sind von der Einholung des beantragten psychiatrischen Gutachtens keine neuen Erkenntnisse zu erwarten, weshalb davon abzusehen ist (antizipierte Beweiswürdigung; BGE 134 I 140 E. 5.3 S. 148; 124 V 90 E. 4b S. 94).</w:t>
      </w:r>
    </w:p>
    <w:p>
      <w:r>
        <w:rPr>
          <w:b/>
        </w:rPr>
        <w:t>E. 3.3</w:t>
      </w:r>
    </w:p>
    <w:p>
      <w:r>
        <w:t>Die Invaliditätsbemessung selber wird vom Versicherten nicht gerügt, womit es beim Invaliditätsgrad von 10 % sein Bewenden hat.</w:t>
      </w:r>
    </w:p>
    <w:p>
      <w:r>
        <w:rPr>
          <w:b/>
        </w:rPr>
        <w:t>E. 4</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