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8C_87/2020 vom 4. Dezember 2020</w:t>
      </w:r>
    </w:p>
    <w:p>
      <w:r>
        <w:t>Bundesgericht, 2020-12-04, FR</w:t>
      </w:r>
    </w:p>
    <w:p>
      <w:r>
        <w:rPr>
          <w:b/>
        </w:rPr>
        <w:t xml:space="preserve">Quelle: </w:t>
      </w:r>
      <w:r>
        <w:t>https://mcp.opencaselaw.ch/entscheid/bger_8C_87_2020</w:t>
      </w:r>
    </w:p>
    <w:p>
      <w:r>
        <w:t>FR: TF 8C_87/2020 du 4 décembre 2020</w:t>
      </w:r>
    </w:p>
    <w:p>
      <w:r>
        <w:t>IT: TF 8C_87/2020 del 4 dicembre 2020</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S'agissant d'une procédure concernant l'octroi de prestations en espèces de l'assurance-accidents, le Tribunal fédéral n'est pas lié par les faits établis par la juridiction précédente ( art. 105 al. 3 LTF ).</w:t>
      </w:r>
    </w:p>
    <w:p>
      <w:r>
        <w:rPr>
          <w:b/>
        </w:rPr>
        <w:t>E. 2</w:t>
      </w:r>
    </w:p>
    <w:p>
      <w:r>
        <w:t>Est litigieux le point de savoir si c'est à bon droit que la cour cantonale a confirmé la décision sur opposition du 9 novembre 2009, par laquelle la CNA a, d'une part, nié le droit du recourant à une rente d'invalidité et, d'autre part, lui a alloué une indemnité pour atteinte à l'intégrité d'un taux de 7,5 %.</w:t>
      </w:r>
    </w:p>
    <w:p>
      <w:r>
        <w:rPr>
          <w:b/>
        </w:rPr>
        <w:t>E. 3.1</w:t>
      </w:r>
    </w:p>
    <w:p>
      <w:r>
        <w:t>En ce qui concerne la rente d'invalidité, demeure seul litigieux le point de savoir si, sur le plan strictement somatique, la capacité de travail résiduelle du recourant se trouve entravée par une diminution de rendement propre à ouvrir le droit à des prestations de l'assurance-accidents.</w:t>
      </w:r>
    </w:p>
    <w:p>
      <w:r>
        <w:rPr>
          <w:b/>
        </w:rPr>
        <w:t>E. 3.2</w:t>
      </w:r>
    </w:p>
    <w:p>
      <w:r>
        <w:t>A cet égard, le jugement entrepris expose correctement les dispositions légales (dans leur teneur valable jusqu'au 31 décembre 2016; cf. ch. 1 des dispositions transitoires relatives à la modification de la LAA du 25 septembre 2015 [RO 2016 4388]) et les principes jurisprudentiels applicables au cas, s'agissant notamment de l'exigence d'un lien de causalité naturelle et adéquate entre l'évènement dommageable et l'atteinte à la santé ( ATF 142 V 435 consid. 1 p. 438 et les références; 129 V 177 consid. 3.1 et 3.2 p. 181), du principe de la libre appréciation des preuves ( art. 61 let . c LPGA) et de la valeur probante des rapports médicaux et des expertises ( ATF 135 V 465 consid. 4.4 p. 469 s.; 134 V 231 consid. 5.1 p. 232; 125 V 351 consid. 3 p. 352 ss.). Il suffit par conséquent d'y renvoyer.</w:t>
      </w:r>
    </w:p>
    <w:p>
      <w:r>
        <w:t>On rappellera cependant qu'en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143 V 269 consid. 6.2.3.2 p. 282; 135 V 465 consid. 4.4 p. 469 s.; 125 V 351 consid. 3b/aa p. 352 s.; arrêt 8C_823/2019 du 9 septembre 2020 consid. 5.3.1).</w:t>
      </w:r>
    </w:p>
    <w:p>
      <w:r>
        <w:rPr>
          <w:b/>
        </w:rPr>
        <w:t>E. 3.3</w:t>
      </w:r>
    </w:p>
    <w:p>
      <w:r>
        <w:t>Appréciant les conclusions de l'expert D.________, les juges cantonaux ont admis que l'atteinte à la santé sur le plan somatique - à savoir la persistance d'une symptomatologie douloureuse - reposait sur un substrat organique tenant aux hanches et au coude; s'agissant des hanches, les limitations fonctionnelles tenaient au temps de marche et à la station debout, une pleine capacité étant retenue en position assise, avec alternance des positions, tandis que, quant au coude, il n'y avait plus de limitation objective de la mobilité, mais une limitation en termes de force. Aussi ont-ils relevé que l'expert retenait une parfaite cohérence du tableau clinique au long cours, alors que la capacité fonctionnelle se trouvait en définitive entravée par un mode d'exécution lente, tenant essentiellement à des appréhensions de blocages propres à générer ou accroître la douleur. Ensuite, ils ont constaté que, toujours d'après cet expert, le recourant était capable, sur un plan strictement physique, de faire une journée entière de travail, la diminution de rendement au travail n'étant pas due à un problème somatique, mais étant d'ordre psychique (appréhension quant à la douleur avec mécanismes de surprotection, avec diminution de la concentration due à ceux-ci comme à la prise de médicaments). Selon la cour cantonale, il ressortait des déterminations de l'expert qu'en réalité, celui-ci peinait encore et toujours - respectivement se refusait - à dissocier la cause strictement organique de la diminution du rendement du substrat non organique tenant en résumé aux empreintes du diagnostic de trouble somatoforme retenu sur le plan psychique (qui se trouvait écarté en l'espèce faute de causalité suffisante). Les premiers juges ont également observé que dans cette problématique de l'évaluation d'un rendement au travail au regard des seules limitations physiques, l'expert était peu cohérent, retenant tantôt un taux global de 50 %, tantôt une diminution maximale de 10 % pour l'alternance des positions et des pauses et de 10 à 20 % pour les effets des médicaments. En outre, l'appréciation chirurgicale du 13 mars 2019 de la doctoresse G.________, spécialiste en chirurgie générale et traumatologie et médecin de la division de médecine des assurances de la CNA, a conduit les juges cantonaux à constater non pas que l'expert manquait d'objectivité quant aux examens pratiques et à ses conclusions, mais qu'il admettait implicitement ne pas pouvoir se cantonner à une approche strictement somatique des conséquences de l'accident. De plus, ils ont retenu avec la doctoresse G.________ que les arguments tirés de la prise de médicaments et de l'impact sur la concentration ne sauraient conduire à une diminution du rendement physique. En définitive, la cour cantonale a conclu que l'analyse strictement médico-théorique du cas par l'expert D.________ échappait à la critique, de sorte qu'il n'y avait pas lieu de mettre en oeuvre une nouvelle expertise sur le plan orthopédique. Toutefois, les premiers juges n'ont pas suivi les conclusions de l'expert D.________ quant à une diminution de rendement tenant aux seules atteintes physiques, ceci au regard des seules limitations fonctionnelles très claires afférentes à ce seul registre, seules déterminantes pour la résolution du contentieux de l'assurance-accidents. Sur le plan médico-théorique, ils ont ainsi retenu que le recourant disposait d'une pleine capacité de travail dans une activité adaptée à ses limitations fonctionnelles.</w:t>
      </w:r>
    </w:p>
    <w:p>
      <w:r>
        <w:rPr>
          <w:b/>
        </w:rPr>
        <w:t>E. 3.4.1</w:t>
      </w:r>
    </w:p>
    <w:p>
      <w:r>
        <w:t>Le recourant soutient que les juges cantonaux auraient eux-mêmes admis que les douleurs et l'appréhension des douleurs qui mènent à la diminution de la capacité de travail en termes de rendement avaient un substrat organique et qu'il serait par conséquent incompréhensible qu'ils puissent considérer que la diminution du rendement soit due à un problème d'ordre psychique. Ce faisant, il perd toutefois de vue que les premiers juges ont écarté cet argument, comme on vient de le voir (consid. 3.3 supra), en retenant que les douleurs de la hanche avaient été prises en compte dans la mesure où une pleine capacité de travail n'était attestée que pour une position principalement assise avec possibilité d'alternance des positions. Quant au coude, ils ont constaté qu'il n'y avait plus de limitation objective de la mobilité. Ainsi, ni l'expert ni la doctoresse G.________ n'ont reconnu de limitations fonctionnelles, puisque, selon le docteur D.________, il y avait, chez le recourant, une fracture de l'épicondyle discrètement déplacée sur les radiographies, mais plus de déficit sur le plan fonctionnel imputable à la lésion fracturaire.</w:t>
      </w:r>
    </w:p>
    <w:p>
      <w:r>
        <w:rPr>
          <w:b/>
        </w:rPr>
        <w:t>E. 3.4.2</w:t>
      </w:r>
    </w:p>
    <w:p>
      <w:r>
        <w:t>Pour le reste, le recourant se borne à affirmer que ce serait à tort que les premiers juges n'ont pas suivi l'expert D.________, et à demander qu'on fixe la diminution de rendement à raison de la nécessité d'alternance de postures et de pauses à 10 % et celle liée aux médicaments à 10 % à 20 %, soit 15 %, de manière à arriver à un taux d'incapacité globale de 25 %. Toutefois, la doctoresse G.________ démontre de manière détaillée que l'expert D.________ avait lui-même attesté à plusieures reprises que les résultats de l'évaluation des capacités fonctionnelles étaient peu ou pas fiables pour retenir une diminution de rendement. Concernant les médicaments, il ressort de l'appréciation circonstanciée de la médecin-conseil - à laquelle la cour cantonale se réfère - que le recourant les prend de façon irrégulière et sous-dosée, si bien qu'ils ne peuvent pas entraîner les effets secondaires incriminés et ne peuvent pas être à l'origine d'une diminution de rendement. Dès lors, la cour cantonale s'est écartée à juste titre des conclusions de l'expert D.________ pour retenir une pleine capacité de travail dans une activité adaptée aux limitations fonctionnelles.</w:t>
      </w:r>
    </w:p>
    <w:p>
      <w:r>
        <w:rPr>
          <w:b/>
        </w:rPr>
        <w:t>E. 4.1</w:t>
      </w:r>
    </w:p>
    <w:p>
      <w:r>
        <w:t>Concernant l'indemnité pour atteinte à l'intégrité, le recourant fait grief à la cour cantonale d'avoir tranché une question dont elle n'était pas saisie en confirmant intégralement la décision sur opposition rendue le 9 novembre 2009 par l'intimée.</w:t>
      </w:r>
    </w:p>
    <w:p>
      <w:r>
        <w:rPr>
          <w:b/>
        </w:rPr>
        <w:t>E. 4.2</w:t>
      </w:r>
    </w:p>
    <w:p>
      <w:r>
        <w:t>L'objet du litige dans la procédure judiciaire consécutive à la décision administrative est le rapport juridique qui - dans le cadre de l'objet de la contestation déterminé par la décision - constitue, d'après les conclusions du recours, l'objet de la décision qui est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 ATF 131 V 164 consid. 2.1 p. 164 s.; 125 V 413 consid. 1b et 2 p. 414 ss.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8C_605/2018, 8C_639/2019 du 22 mai 2019 consid. 6.2 et les références citées, in SVR 2020 UV n. 2 p. 5).</w:t>
      </w:r>
    </w:p>
    <w:p>
      <w:r>
        <w:rPr>
          <w:b/>
        </w:rPr>
        <w:t>E. 4.3</w:t>
      </w:r>
    </w:p>
    <w:p>
      <w:r>
        <w:t>En l'occurrence, l'intimée avait statué dans sa décision sur opposition du 9 novembre 2009 sur deux rapports juridiques distincts sans lien de connexité en statuant d'une part sur le droit à une rente d'invalidité, et d'autre part sur le droit à une indemnité pour atteinte à l'intégrité (cf. arrêts 8C_605/2018, 8C_639/2019 du 22 mai 2019 consid. 6.2, in SVR 2020 n. 2 p. 5; 8C_451/2009 du 18 août 2010 consid. 1.2). Dans son arrêt du 1er février 2017, l'instance cantonale avait renvoyé la cause à l'intimée pour nouvelle décision s'agissant du degré d'invalidité et du taux de l'indemnité pour atteinte à l'intégrité. Ensuite, l'intimée a recouru au Tribunal fédéral contre cet arrêt en demandant son annulation, mais uniquement en tant qu'il reconnaissait à l'assuré une capacité de travail réduite de moitié dans une activité adaptée. En conséquence, le Tribunal fédéral a annulé le jugement du 1er février 2017 dans la mesure où il retenait un taux d'incapacité de travail de 50 % et a renvoyé la cause pour instruction complémentaire à la cour cantonale (arrêt 8C_197/2017 du 5 décembre 2017, dispositif ch. 1). Il ressort des considérants de cet arrêt que la CNA ne contestait pas le fait qu'elle devrait procéder à une nouvelle évaluation de l'atteinte à l'intégrité de l'assuré (consid. 3 de l'arrêt précité). Dans l'arrêt du 30 décembre 2019, la Cour des assurances sociales a ainsi exposé que le litige était désormais circonscrit au point de savoir si, sur le plan somatique, la capacité de travail résiduelle du recourant se trouvait entravée par une diminution de rendement propre à ouvrir le droit à des prestations de l'assurance-accident.</w:t>
      </w:r>
    </w:p>
    <w:p>
      <w:r>
        <w:t>Il appert ainsi qu'à partir du recours de la CNA contre l'arrêt du Tribunal cantonal du 1er février 2017, la question de l'indemnité pour atteinte à l'intégrité ne faisait plus partie de l'objet du litige, de sorte que les premiers juges ne pouvaient plus l'examiner de leur propre chef. Il s'ensuit que le recours doit être partiellement admis et l'arrêt du Tribunal cantonal du 30 décembre 2019 annulé en tant qu'il confirme (dans son dispositif) l'indemnité pour atteinte à l'intégrité basée sur un taux de 7,5 % qui a été allouée dans la décision sur opposition du 9 novembre 2009.</w:t>
      </w:r>
    </w:p>
    <w:p>
      <w:r>
        <w:rPr>
          <w:b/>
        </w:rPr>
        <w:t>E. 5</w:t>
      </w:r>
    </w:p>
    <w:p>
      <w:r>
        <w:t>Le recourant n'obtient que partiellement gain de cause sur ses conclusions. Il se justifie dès lors de répartir les frais judiciaires entre le recourant à raison des trois quarts et l'intimée à raison d'un quart ( art. 66 al. 1 LTF ) et d'allouer au recourant une indemnité de dépens réduite dans la même proportion, à la charge de l'intimée ( art. 68 al. 1 LTF ).</w:t>
      </w:r>
    </w:p>
    <w:p>
      <w:r>
        <w:t>Cependant, le recourant a déposé une demande d'assistance judiciaire. Dès lors que les conditions d'octroi sont réalisées ( art. 64 al. 1 et 2 LTF ), l'assistance judiciaire lui sera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