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8C_879/2012 vom 17. Januar 2013</w:t>
      </w:r>
    </w:p>
    <w:p>
      <w:r>
        <w:t>Bundesgericht, 2013-01-17, DE</w:t>
      </w:r>
    </w:p>
    <w:p>
      <w:r>
        <w:rPr>
          <w:b/>
        </w:rPr>
        <w:t xml:space="preserve">Quelle: </w:t>
      </w:r>
      <w:r>
        <w:t>https://mcp.opencaselaw.ch/entscheid/bger_8C_879_2012</w:t>
      </w:r>
    </w:p>
    <w:p>
      <w:r>
        <w:t>FR: TF 8C_879/2012 du 17 janvier 2013</w:t>
      </w:r>
    </w:p>
    <w:p>
      <w:r>
        <w:t>IT: TF 8C_879/2012 del 17 gennaio 2013</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Es ist unbestritten, dass die Invalidität bis 31. Juli 2008 nach der für Nichterwerbstätige geltenden spezifischen Methode (Betätigungsvergleich; Art. 28a Abs. 2 IVG und Art. 27 IVV in Verbindung mit Art. 8 Abs. 3 ATSG ) und ab 1. August 2008 nach der gemischten Methode ( Art. 28a Abs. 3 IVG und Art. 27bis IVV ; BGE 134 V 9 ; 133 V 504 ; 131 V 51 ; 130 V 393 ; 125 V 146 ) mit je hälftigem Tätigkeitsbereich zu bemessen ist.</w:t>
      </w:r>
    </w:p>
    <w:p>
      <w:r>
        <w:rPr>
          <w:b/>
        </w:rPr>
        <w:t>E. 3.1</w:t>
      </w:r>
    </w:p>
    <w:p>
      <w:r>
        <w:t>Hinsichtlich der gesundheitlichen Einschränkungen im erwerblichen Bereich hat die Vorinstanz erwogen, es sei auf das in allen Teilen beweiskräftige polydisziplinäre Gutachten des Begutachtungszentrums Z.________ vom 8. Dezember 2009 abzustellen. Danach waren im Wesentlichen wegen der ausgeprägten degenerativen Veränderungen des Achsenskeletts (vor allem Lumbovertebralsyndrom mit schwerster erosiver Osteochondrose auf Höhe der Lendenwirbelkörper L3/4) und dem pathologischen Übergewicht körperlich schwere Arbeiten nicht zuzumuten; hingegen sollte die Versicherte leichte wechselbelastende und rückenadaptierte Tätigkeiten (zu vermeiden waren: repetitives Heben, Stossen oder Ziehen von Lasten über 5 bis 7.5 kg, wiederholtes Bücken sowie Verrichtungen über Kopf) sicher halbtags zusätzlich zu den Haushaltaufgaben erfüllen können. Davon ausgehend hat die Vorinstanz gestützt auf einen Einkommensvergleich (vgl. Art. 16 ATSG ) und anhand statistischer Werte einen Invaliditätsgrad von ungewichtet 15 % ermittelt, welcher der gewährten Kürzung gemäss BGE 126 V 75 auf dem Einkommen, das die Versicherte zu erzielen vermöchte, wäre sie nicht invalid geworden, entsprochen hat.</w:t>
      </w:r>
    </w:p>
    <w:p>
      <w:r>
        <w:rPr>
          <w:b/>
        </w:rPr>
        <w:t>E. 3.2</w:t>
      </w:r>
    </w:p>
    <w:p>
      <w:r>
        <w:t>Dieses Ergebnis ist entgegen der Auffassung der Beschwerdeführerin nicht zu beanstanden. Sie übersieht, dass die rheumatologische Sachverständige des Begutachtungszentrums Z.________ (vgl. Teilgutachten vom 2. November 2009) die gesundheitlichen Beeinträchtigungen und deren Auswirkungen auf die Arbeitsfähigkeit im erwerblichen Bereich in allen wesentlichen Punkten übereinstimmend mit den Auskünften des Dr. med. G.________ (Berichte vom 15. September 2006) beurteilte und die geltend gemachte, revisionsrechtlich erhebliche Verschlechterung der medizinischen Befunde daher jedenfalls für den massgeblichen Beurteilungszeitraum bis Erlass der Ablehnungsverfügung vom 22. Dezember 2011 mangels anderslautender medizinischer Unterlagen nicht plausibel ist. Wenig nachvollziehbar ist nach dem Gesagten weiter der Einwand, die Fachärzte schätzten zu Unrecht die Arbeitsfähigkeit in der Haushalt- und einer den gesundheitlichen Beeinträchtigungen angepassten erwerblichen Tätigkeit unterschiedlich ein. Schliesslich wird zum Vorbringen, die Vorinstanz habe die Wechselwirkungen, die sich aus gleichzeitig ausgeübter Berufstätigkeit und Haushaltführung ergeben könnten (vgl. dazu BGE 134 V 9 E. 7.3.1 S. 12), nicht oder ungenügend berücksichtigt, nachfolgend einzugehen sein.</w:t>
      </w:r>
    </w:p>
    <w:p>
      <w:r>
        <w:rPr>
          <w:b/>
        </w:rPr>
        <w:t>E. 4.1</w:t>
      </w:r>
    </w:p>
    <w:p>
      <w:r>
        <w:t>Bezüglich der gesundheitlichen Einschränkungen bei der Besorgung des Haushalts wird in der Beschwerde geltend gemacht, laut Teilgutachten der rheumatologischen Sachverständigen des Begutachtungszentrums Z.________ vom 2. November 2009 sei abweichend vom Abklärungsbericht Haushalt vom 16. Juli 2007 von einer Arbeitsunfähigkeit von 39.5, mithin aufgerundet von 40 % statt 31 % auszugehen. Die Beschwerdeführerin verkennt, dass die Gutachterin die angesprochene Diskrepanz nicht medizinisch begründete, sondern eine von den an Ort und Stelle getroffenen Feststellungen der Abklärungsperson die beim Betätigungsvergleich zu beachtenden einzelnen Positionen teilweise etwas anders gewichtete. Dies reicht nicht aus, den gemäss vorinstanzlichen Erwägungen den rechtlichen Anforderungen genügenden und damit beweiskräftigen (vgl. dazu SVR 2008 IV Nr. 34 S. 111, I 246/05 E. 5.1.1) Abklärungsbericht Haushalt vom 16. Juli 2007 in Frage zu ziehen. Ferner ist mit den Erwägungen des kantonalen Gerichts darauf hinzuweisen, dass die rheumatologische Sachverständige des Begutachtungszentrums Z.________ für den Zeitpunkt des von ihr selbst propagierten Statuswechsels von einer nur noch um 33 % eingeschränkten Arbeitsfähigkeit bei der Besorgung des Haushaltes ausging, welcher Auffassung sich die Abklärungsperson nach erneuter Prüfung der Verhältnisse an Ort und Stelle jedenfalls im Ergebnis anschloss (Bericht vom 31. März 2010).</w:t>
      </w:r>
    </w:p>
    <w:p>
      <w:r>
        <w:rPr>
          <w:b/>
        </w:rPr>
        <w:t>E. 4.2</w:t>
      </w:r>
    </w:p>
    <w:p>
      <w:r>
        <w:t>Nach den weiteren Vorbringen der Beschwerdeführerin hat die Vorinstanz die Pflicht der im gleichen Haushalt lebenden Töchter (Jahrgänge 1989 und 1993) überdehnt, die Auswirkungen der gesundheitlichen Beeinträchtigungen der Mutter zu mindern. Das Bundesgericht hat sich in BGE 133 V 504 E. 4.2 S 509 f. eingehend mit der Frage befasst, inwiefern im Haushalt tätigen versicherten Personen schadenmindernd die Mithilfe von Drittpersonen im Invaliditätsfall anzurechnen ist. Es erkannte unter anderem, dass für den Umfang der Mithilfe nicht die rechtliche Durchsetzbarkeit, sondern das Verhalten von Personen in vergleichbarer sozialer Realität massgeblich ist. Daher dringt der Einwand der Beschwerdeführerin, ihre Töchter weigerten sich im Haushalt mitzuhelfen, selbst dann nicht durch, wenn sie wegen schulischer Probleme oder hoher Beanspruchung im Studium anderweitig stark belastet waren.</w:t>
      </w:r>
    </w:p>
    <w:p>
      <w:r>
        <w:rPr>
          <w:b/>
        </w:rPr>
        <w:t>E. 4.3</w:t>
      </w:r>
    </w:p>
    <w:p>
      <w:r>
        <w:t>Gemäss Rechtsprechung kann das infolge der Beanspruchung in der Erwerbstätigkeit oder im häuslichen Aufgabenbereich im jeweils anderen Tätigkeitsbereich reduzierte Leistungsvermögen berücksichtigt werden, wenn es offenkundig ist und ein gewisses normales Mass überschreitet ( BGE 134 V 9 E. 7.3.6 S. 14). Allfällige Wechselwirkungen sind stets vom anteilsmässig bedeutenderen zum weniger bedeutenden Bereich zu berücksichtigen. Gesundheitliche Auswirkungen vom Erwerbs- in den Haushaltbereich können nur angenommen werden, wenn die verbleibende Arbeitsfähigkeit im erwerblichen Tätigkeitsbereich voll ausgenützt wird, d.h. der - für den Gesundheitsfall geltende - Erwerbsanteil die Arbeitsfähigkeit im Erwerbsbereich übersteigt oder mit dieser identisch ist ( BGE 134 V 9 E. 7.3.3 und E. 7.3.5 S. 13 f.). Da vorliegend bis zu dem für die gerichtliche Überprüfung massgeblichen Zeitpunkt bis Erlass der Verfügung vom 29. Dezember 2011 kein Anhalt besteht, die Versicherte habe die ihr verbliebene Arbeitsfähigkeit erwerbsmässig tatsächlich verwertet, hat die geltend gemachte, allenfalls bestehende Wechselwirkung ausser Acht zu bleiben.</w:t>
      </w:r>
    </w:p>
    <w:p>
      <w:r>
        <w:rPr>
          <w:b/>
        </w:rPr>
        <w:t>E. 5</w:t>
      </w:r>
    </w:p>
    <w:p>
      <w:r>
        <w:t>Zusammengefasst ist in Bestätigung des vorinstanzlichen Entscheids festzustellen, dass die Beschwerdeführerin in dem vom Bundesgericht überprüfbaren Zeitraum bis Erlass der Rentenablehnungsverfügung der IV-Stelle vom 29. Dezember 2011 keinen Anspruch auf eine Invalidenrente hatte.</w:t>
      </w:r>
    </w:p>
    <w:p>
      <w:r>
        <w:rPr>
          <w:b/>
        </w:rPr>
        <w:t>E. 6</w:t>
      </w:r>
    </w:p>
    <w:p>
      <w:r>
        <w:t>Die unentgeltliche Rechtspflege kann gewährt werden ( Art. 64 BGG ), da die Bedürftigkeit aktenkundig ist und die Beschwerde nicht als aussichtslos zu bezeichnen war ( BGE 125 V 201 E. 4a S. 202 und 371 E. 5b S. 372).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