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8C_878/2010 vom 19. September 2011</w:t>
      </w:r>
    </w:p>
    <w:p>
      <w:r>
        <w:t>Bundesgericht, 2011-09-19, FR</w:t>
      </w:r>
    </w:p>
    <w:p>
      <w:r>
        <w:rPr>
          <w:b/>
        </w:rPr>
        <w:t xml:space="preserve">Quelle: </w:t>
      </w:r>
      <w:r>
        <w:t>https://mcp.opencaselaw.ch/entscheid/bger_8C_878_2010</w:t>
      </w:r>
    </w:p>
    <w:p>
      <w:r>
        <w:t>FR: TF 8C_878/2010 du 19 septembre 2011</w:t>
      </w:r>
    </w:p>
    <w:p>
      <w:r>
        <w:t>IT: TF 8C_878/2010 del 19 settembre 2011</w:t>
      </w:r>
    </w:p>
    <w:p>
      <w:pPr>
        <w:pStyle w:val="Heading2"/>
      </w:pPr>
      <w:r>
        <w:t>Erwägungen</w:t>
      </w:r>
    </w:p>
    <w:p>
      <w:r>
        <w:rPr>
          <w:b/>
        </w:rPr>
        <w:t>E. 1</w:t>
      </w:r>
    </w:p>
    <w:p>
      <w:r>
        <w:t>Le litige a pour objet le point de savoir si le recourant peut prétendre une rente d'un taux supérieur à 25 % à partir du 1er janvier 2010.</w:t>
      </w:r>
    </w:p>
    <w:p>
      <w:r>
        <w:t>Dans une procédure relative à l'octroi ou au refus de prestations en espèces de l'assurance-accidents, le recours peut porter sur la constatation incomplète ou inexacte des faits, le Tribunal fédéral n'étant pas lié par les faits établis par l'autorité précédente (art. 97 al. 2 et 105 al. 3 LTF).</w:t>
      </w:r>
    </w:p>
    <w:p>
      <w:r>
        <w:rPr>
          <w:b/>
        </w:rPr>
        <w:t>E. 2</w:t>
      </w:r>
    </w:p>
    <w:p>
      <w:r>
        <w:t>A l'instar de la CNA, la juridiction cantonale a retenu que l'épaule droite de l'assuré avait certes subi une aggravation objective (omarthrose) depuis la décision d'octroi de la rente de 25 %, mais que cette évolution n'avait pas changé l'exigibilité d'une activité adaptée à plein temps telle qu'elle avait été admise à cette époque (avril 2000). Les limitations fonctionnelles en résultant étaient en effet restées sensiblement les mêmes. Elle a ainsi considéré que le taux d'invalidité présenté par l'assuré n'avait pas subi de modification (cf. art. 17 LPGA ), de sorte que celui-ci n'avait pas droit à une rente plus élevée à partir du 1er janvier 2010. La juridiction cantonale a encore précisé qu'en vertu de son obligation de diminuer le dommage, l'assuré devait mettre à profit sa capacité de travail dans l'activité la plus rentable, au besoin en changeant de profession.</w:t>
      </w:r>
    </w:p>
    <w:p>
      <w:r>
        <w:rPr>
          <w:b/>
        </w:rPr>
        <w:t>E. 3</w:t>
      </w:r>
    </w:p>
    <w:p>
      <w:r>
        <w:t>Le recourant ne conteste pas le fait qu'il conserve, nonobstant l'état de son épaule droite, une capacité de travail totale dans une activité adaptée. Il soutient en revanche que son revenu d'invalide ne doit pas être déterminé en fonction d'une activité salariée de substitution, mais sur la base du salaire qu'il peut encore réaliser à ce jour dans son activité indépendante de carrossier. Il n'était en effet pas raisonnablement exigible qu'il abandonne son entreprise de carrosserie qu'il avait ouverte en 1987 et dans laquelle il avait investi «plusieurs centaines de milliers de francs».</w:t>
      </w:r>
    </w:p>
    <w:p>
      <w:r>
        <w:rPr>
          <w:b/>
        </w:rPr>
        <w:t>E. 4.1</w:t>
      </w:r>
    </w:p>
    <w:p>
      <w:r>
        <w:t>Selon la jurisprudence, pour que le revenu d'invalide soit fixé en fonction du revenu effectivement réalisé par l'assuré après la survenance de l'atteinte à la santé, il faut que l'activité exercée repose sur des rapports de travail stables, qu'elle mette pleinement en valeur la capacité de travail résiduelle et qu'elle procure un gain correspondant au travail effectivement fourni, sans contenir d'élément de salaire social ( ATF 129 V 472 consid. 4.2.1 p. 475; 126 V 75 consid. 3b/aa p. 76).</w:t>
      </w:r>
    </w:p>
    <w:p>
      <w:r>
        <w:rPr>
          <w:b/>
        </w:rPr>
        <w:t>E. 4.2</w:t>
      </w:r>
    </w:p>
    <w:p>
      <w:r>
        <w:t>Si ces conditions ne sont pas réunies, en particulier lorsque l'activité exercée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 ATF 113 V 22 consid. 4 p. 28;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 ATF 122 V 377 consid. 2b/cc p. 380; 119 V 250 consid. 3a p. 253; voir également ATF 113 V 22 consid. 4d p. 31, ainsi que PETER OMLIN, Die Invalidität in der obligatorischen Unfallversicherung, Fribourg 1995, p. 185 sv., p. 203 sv.).</w:t>
      </w:r>
    </w:p>
    <w:p>
      <w:r>
        <w:rPr>
          <w:b/>
        </w:rPr>
        <w:t>E. 4.3</w:t>
      </w:r>
    </w:p>
    <w:p>
      <w:r>
        <w:t>En l'occurrence, on ne voit pas de motif de remettre en cause le point de vue des premiers juges, selon lequel le recourant peut être tenu de mettre fin à son activité indépendante au profit d'une activité salariée plus lucrative. Il est constant que l'assuré présente des atteintes incompatibles avec les travaux de carrosserie. Bien qu'il ait pu, au fil du temps, aménager son activité de manière à augmenter son temps de travail consacré à la vente de voitures, sa capacité de travail reste nettement inférieure en tant que carrossier indépendant (50 %) que dans un emploi salarié adapté (100 %). Les perspectives de revenu offertes par un changement d'activité sont donc significativement plus élevées. Par ailleurs, C.________, âgé de 46 ans au moment de la décision litigieuse, n'a de loin pas atteint l'âge à partir duquel la jurisprudence considère généralement qu'il n'existe plus de possibilité réaliste de mise en valeur de la capacité résiduelle de travail sur un marché de l'emploi supposé équilibré (voir les arrêts 9C_918/2008 du 28 mai 2009 consid. 4.2.2, 9C_437/2008 du 19 mai 2009 consid. 4, et I 819/04 du 27 mai 2005 consid. 2.2). Au vu de ces circonstances, le seule allégation des investissements consentis dans l'entreprise ne suffit pas pour admettre le contraire. Le recourant ne prétend au demeurant pas qu'il lui serait impossible de remettre la carrosserie à un tiers. On peut encore relever que la CNA a retenu qu'il était susceptible de se réadapter dans un emploi salarié depuis l'année 2000 déjà (voir les descriptions de postes de travail qu'elle a prises en considération pour fixer son revenu d'invalide) et que le recourant n'a jamais contesté cette manière de procéder auparavant.</w:t>
      </w:r>
    </w:p>
    <w:p>
      <w:r>
        <w:t>Il s'ensuit que l'évaluation de l'invalidité à laquelle a abouti l'intimée n'est pas critiquable et que le recours doit être rejeté.</w:t>
      </w:r>
    </w:p>
    <w:p>
      <w:r>
        <w:rPr>
          <w:b/>
        </w:rPr>
        <w:t>E. 5</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