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8C_877/2015 vom 5. Januar 2016</w:t>
      </w:r>
    </w:p>
    <w:p>
      <w:r>
        <w:t>Bundesgericht, 2016-01-05, DE</w:t>
      </w:r>
    </w:p>
    <w:p>
      <w:r>
        <w:rPr>
          <w:b/>
        </w:rPr>
        <w:t xml:space="preserve">Quelle: </w:t>
      </w:r>
      <w:r>
        <w:t>https://mcp.opencaselaw.ch/entscheid/bger_8C_877_2015</w:t>
      </w:r>
    </w:p>
    <w:p>
      <w:r>
        <w:t>FR: TF 8C_877/2015 du 5 janvier 2016</w:t>
      </w:r>
    </w:p>
    <w:p>
      <w:r>
        <w:t>IT: TF 8C_877/2015 del 5 gennaio 2016</w:t>
      </w:r>
    </w:p>
    <w:p>
      <w:pPr>
        <w:pStyle w:val="Heading2"/>
      </w:pPr>
      <w:r>
        <w:t>Erwägungen</w:t>
      </w:r>
    </w:p>
    <w:p>
      <w:r>
        <w:rPr>
          <w:b/>
        </w:rPr>
        <w:t>E. 1</w:t>
      </w:r>
    </w:p>
    <w:p>
      <w:r>
        <w:t>Das Bundesgericht prüft seine Zuständigkeit und die Eintretensvoraussetzungen von Amtes wegen und mit freier Kognition ( Art. 29 Abs. 1 BGG ; vgl. BGE 135 III 1 E. 1.1 S. 3 mit Hinweisen).</w:t>
      </w:r>
    </w:p>
    <w:p>
      <w:r>
        <w:rPr>
          <w:b/>
        </w:rPr>
        <w:t>E. 2.1</w:t>
      </w:r>
    </w:p>
    <w:p>
      <w:r>
        <w:t>Die Beschwerde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2.2</w:t>
      </w:r>
    </w:p>
    <w:p>
      <w:r>
        <w:t>Praxisgemäss bewirkt ein Entscheid, mit dem eine Sache - wie vorliegend bezüglich der Verfügung vom 23. September 2014 - zur neuen Abklärung und Entscheidung an die Vorinstanz zurückgewiesen wird, in der Regel keinen nicht wieder gutzumachenden Nachteil im Sinne von Art. 93 Abs. 1 lit. a BGG (vgl. statt vieler z.B. Urteile 8C_509/2012 vom 25. Juli 2012 und 8C_502/2012 vom 10. August 2012 mit Hinweisen); er führt in der Regel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 BGE 133 V 477 E. 5.2.2 ff. S. 483 f. und seitherige Rechtsprechung). So verhält es sich hier nicht, denn die IV-Stelle hat vorliegend nach getätigter Abklärung der Verhältnisse über den Anspruch auf eine Invalidenrente neu zu verfügen, ohne dass der angefochtene Entscheid präjudizierende Wirkung für ein allfälliges letztinstanzliches Beschwerdeverfahren entfaltet ( BGE 133 V 477 E. 5.2.2 ff. S. 483 f.).</w:t>
      </w:r>
    </w:p>
    <w:p>
      <w:r>
        <w:rPr>
          <w:b/>
        </w:rPr>
        <w:t>E. 2.3</w:t>
      </w:r>
    </w:p>
    <w:p>
      <w:r>
        <w:t>Sodann ist vorliegend auch die Eintretensvoraussetzung des Art. 93 Abs. 1 lit. b BGG - entgegen der Meinung der Beschwerdeführerin - nicht erfüllt, weil mit der Gutheissung der Beschwerde kein nach der Rechtsprechung bedeutender Aufwand an Zeit oder Kosten für ein weitläufiges Beweisverfahren im Sinne der genannten Bestimmung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Urteile 8C_400/2012 vom 28. Juni 2012, 8C_302/2009 vom 24. April 2009 und 8C_1038/2008 vom 20. April 2009 E. 2.2 mit Hinweisen). Von dieser Rechtsprechung abzugehen besteht auch im vorliegenden Fall kein Anlass.</w:t>
      </w:r>
    </w:p>
    <w:p>
      <w:r>
        <w:rPr>
          <w:b/>
        </w:rPr>
        <w:t>E. 2.4</w:t>
      </w:r>
    </w:p>
    <w:p>
      <w:r>
        <w:t>Nach dem Gesagten sind die alternativen Sachurteilsvoraussetzungen des Art. 93 Abs. 1 BGG hier offensichtlich nicht gegeben, weshalb auf die Beschwerde im vereinfachten Verfahren nach Art. 108 Abs. 1 lit. a BGG , ohne Durchführung eines Schriftenwechsels ( Art. 102 Abs. 1 BGG ), nicht einzutreten ist und die Beschwerdeführerin nach Art. 66 Abs. 1 BGG kostenpflichtig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