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8C_876/2017 vom 15. Mai 2018</w:t>
      </w:r>
    </w:p>
    <w:p>
      <w:r>
        <w:t>Bundesgericht, 2018-05-15, DE</w:t>
      </w:r>
    </w:p>
    <w:p>
      <w:r>
        <w:rPr>
          <w:b/>
        </w:rPr>
        <w:t xml:space="preserve">Quelle: </w:t>
      </w:r>
      <w:r>
        <w:t>https://mcp.opencaselaw.ch/entscheid/bger_8C_876_2017</w:t>
      </w:r>
    </w:p>
    <w:p>
      <w:r>
        <w:t>FR: TF 8C_876/2017 du 15 mai 2018</w:t>
      </w:r>
    </w:p>
    <w:p>
      <w:r>
        <w:t>IT: TF 8C_876/2017 del 15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für die Zeit ab 1. Juli 2013 einen Rentenanspruch des Versicherten verneint hat.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4.1</w:t>
      </w:r>
    </w:p>
    <w:p>
      <w:r>
        <w:t>Der Beschwerdeführer reichte bereits im Mai 2010 bei der damals zuständigen IV-Stelle ein Leistungsgesuch ein. Nachdem er eine neue Stelle gefunden hatte, hielt die Verwaltung fest, dass er damit rentenausschliessend eingegliedert sei. Am 2. Dezember 2012 meldete sich der Versicherte bei der Beschwerdegegnerin zum Leistungsbezug an, nachdem er diese neue Stelle wieder verloren hatte. Aufgrund dieser Ausgangslage ist das erneute Leistungsgesuch entgegen den vorinstanzlichen Erwägungen nicht als Neuanmeldung im Sinne von Art. 87 Abs. 3 IVV (vgl. E. 3.2 hievor), sondern gleich wie eine erstmalige Anmeldung zu behandeln (vgl. Urteil 9C_257/2009 vom 6. Juli 2009; vgl auch MEYER/REICHMUTH, Bundesgesetz über die Invalidenversicherung [IVG], 3. Aufl. 2014, Rz. 127 zu Art. 30-31 IVG ).</w:t>
      </w:r>
    </w:p>
    <w:p>
      <w:r>
        <w:rPr>
          <w:b/>
        </w:rPr>
        <w:t>E. 4.2</w:t>
      </w:r>
    </w:p>
    <w:p>
      <w:r>
        <w:t>Das kantonale Gericht hat im Wesentlichen erwogen, ärztlicherseits werde dem Versicherten aufgrund einer psychiatrischen Symptomatik eine Einschränkung in seiner Leistungsfähigkeit attestiert. Es könne aber weder von einer konsequenten Depressionstherapie noch davon gesprochen werden, dass das Leiden therapeutisch nicht angehbar sei, weshalb dem Leiden keine invalidisierende Wirkung zuzuerkennen sei. Allerdings ist die seitens der Vorinstanz zitierte Rechtsprechung betreffend die Voraussetzungen, unter denen leichten bis mittelschweren Depressionen invalidisierende Wirkung zukommen kann ( BGE 140 V 193 E. 3.3 S. 197 mit Hinweis; Urteil 9C_841/2016 vom 8. Februar 2017 E. 3.1), mit BGE 143 V 409 und 418 geändert worden. Gemäss BGE 143 V 418 sind sämtliche psychischen Leiden, laut BGE 143 V 409 namentlich auch leichte bis mittelschwere Depressionen, einem strukturierten Beweisverfahren nach BGE 141 V 281 zu unterziehen. Diese neue Rechtsprechung ist auf alle im Zeitpunkt der Praxisänderung noch nicht erledigten Fälle anzuwenden (Urteil 8C_756/2017 vom 7. März 2018 E. 4 mit weiterem Hinweis) und ist somit auch im vorliegenden Fall massgebend. Da bis anhin noch kein solches Beweisverfahren stattgefunden hat und insbesondere auch eine umfassende vorinstanzliche Auseinandersetzung mit den massgebenden Standardindikatoren fehlt, ist die Beschwerde des Versicherten teilweise gutzuheissen. Der kantonale Entscheid ist aufzuheben und die Sache an die Vorinstanz zurückzuweisen, damit diese, allenfalls nach weiteren medizinischen Abklärungen, ein solches Beweisverfahren durchführe und hernach über die Beschwerde des Versicherten neu entscheide.</w:t>
      </w:r>
    </w:p>
    <w:p>
      <w:r>
        <w:rPr>
          <w:b/>
        </w:rPr>
        <w:t>E. 5</w:t>
      </w:r>
    </w:p>
    <w:p>
      <w:r>
        <w:t>Das Verfahren ist kostenpflichtig ( Art. 65 Abs. 1 BGG ). Die Gerichtskosten werden der Beschwerdegegnerin als unterliegender Partei auferlegt ( Art. 66 Abs. 1 BGG ). Sie hat dem Beschwerdeführer eine Parteientschädigung auszurichten ( Art. 66 Abs. 1 und 2 BGG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