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876/2010 vom 19. November 2010</w:t>
      </w:r>
    </w:p>
    <w:p>
      <w:r>
        <w:t>Bundesgericht, 2010-11-19, DE</w:t>
      </w:r>
    </w:p>
    <w:p>
      <w:r>
        <w:rPr>
          <w:b/>
        </w:rPr>
        <w:t xml:space="preserve">Quelle: </w:t>
      </w:r>
      <w:r>
        <w:t>https://mcp.opencaselaw.ch/entscheid/bger_8C_876_2010</w:t>
      </w:r>
    </w:p>
    <w:p>
      <w:r>
        <w:t>FR: TF 8C 876/2010 du 19 novembre 2010</w:t>
      </w:r>
    </w:p>
    <w:p>
      <w:r>
        <w:t>IT: TF 8C 876/2010 del 19 novembre 2010</w:t>
      </w:r>
    </w:p>
    <w:p>
      <w:pPr>
        <w:pStyle w:val="Heading2"/>
      </w:pPr>
      <w:r>
        <w:t>Regeste</w:t>
      </w:r>
    </w:p>
    <w:p>
      <w:r>
        <w:t>Invalidenversicherung (Prozessvoraussetzung) | Invalidenversicherung</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Die Vorinstanz hat die Sache unter Aufhebung der angefochtenen Verfügung zu weiteren medizinischen Abklärungen (Einholung eines Obergutachtens) an die Beschwerdeführerin zurückgewiesen. Damit hat sie einen Zwischenentscheid im Sinne der Art. 90 ff. BGG gefällt ( BGE 133 V 477 E. 4.2 S. 481). Da der selbstständig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Es ist nicht erkennbar und wird auch nicht geltend gemacht,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Urteile 8C_593/2008 vom 4. August 2008 E. 3, 8C_362/2007 vom 16. Januar 2008 E. 2.2 sowie 8C_575/2008 vom 24. Juli 2008 E. 3). Das kantonale Gericht hat zudem keine Sachverhaltsfeststellungen getroffen, welche für die Beschwerdeführerin in dem Sinne verbindlich wären, dass sie nach Vorliegen des Gutachtens von ihr nicht korrigiert werden könnten. Art. 93 Abs. 1 lit. a BGG ist damit nicht erfüllt. Dies gilt praxisgemäss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(Urteile 8C_778/2010 vom 18. Oktober 2010 E. 3, 8C_593/2008 vom 4. August 2008 E. 3, 9C_301/2007 vom 28. September 2007 E. 2.2, 8C_78/2008 vom 9. Juli 2008 E. 2 und 8C_575/2008 vom 24. Juli 2008 E. 3).</w:t>
      </w:r>
    </w:p>
    <w:p>
      <w:r>
        <w:rPr>
          <w:b/>
        </w:rPr>
        <w:t>E. 4</w:t>
      </w:r>
    </w:p>
    <w:p>
      <w:r>
        <w:t>Eine Gutheissung der Beschwerde würde zwar - wie die beschwer- deführende IV-Stelle an sich zutreffend darlegt -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8C_778/2010 vom 18. Oktober 2010 E. 4, 8C_593/2008 vom 4. August 2008 E. 4, 8C_742/2007 vom 4. April 2008 E. 3, 8C_222/2007 vom 5. Mai 2008 E. 3, 8C_222/2008 vom 13. Juni 2008 E. 3 und 8C_575/2008 vom 24. Juli 2008 E. 4; vgl. statt vieler nunmehr Urteil 8C_1038/2008 vom 20. April 2009 E. 2.2 mit Hinweisen). Auf die Beschwerde ist daher nicht einzutreten.</w:t>
      </w:r>
    </w:p>
    <w:p>
      <w:r>
        <w:rPr>
          <w:b/>
        </w:rPr>
        <w:t>E. 5</w:t>
      </w:r>
    </w:p>
    <w:p>
      <w:r>
        <w:t>Das Verfahren ist kostenpflichtig ( Art. 65 BGG ). Als unterliegende Partei hat die Beschwerdeführerin die Gerichtskosten zu tragen ( Art. 66 Abs. 1 BGG ; BGE 133 V 642 E. 5). Eine Entschädigung an den Beschwerdegegner schuldet sie hingegen nicht, da Letzterer nicht zu einer Stellungnahme vor Bundesgericht aufgefordert worden ist ( Art. 68 Abs. 1 BGG ).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