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874/2013 vom 14. Februar 2014</w:t>
      </w:r>
    </w:p>
    <w:p>
      <w:r>
        <w:t>Bundesgericht, 2014-02-14, DE</w:t>
      </w:r>
    </w:p>
    <w:p>
      <w:r>
        <w:rPr>
          <w:b/>
        </w:rPr>
        <w:t xml:space="preserve">Quelle: </w:t>
      </w:r>
      <w:r>
        <w:t>https://mcp.opencaselaw.ch/entscheid/bger_8C_874_2013</w:t>
      </w:r>
    </w:p>
    <w:p>
      <w:r>
        <w:t>FR: TF 8C 874/2013 du 14 février 2014</w:t>
      </w:r>
    </w:p>
    <w:p>
      <w:r>
        <w:t>IT: TF 8C 874/2013 del 14 febbraio 2014</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 Bei einer Neuanmeldung der Versicherten sind die Regeln zur Revision analog anwendbar ( Art. 17 ATSG ; Art. 87 Abs. 3 f. IVV; BGE 134 V 131 E. 3 S. 132; 117 V 198 E. 3a; SVR 2011 IV Nr. 2 S. 7, 9C_904/2009 E. 3.2).</w:t>
      </w:r>
    </w:p>
    <w:p>
      <w:r>
        <w:rPr>
          <w:b/>
        </w:rPr>
        <w:t>E. 2.2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2.3</w:t>
      </w:r>
    </w:p>
    <w:p>
      <w:r>
        <w:t>Streitig und zu prüfen ist, ob die Vorinstanz Bundesrecht verletzte, als sie den Anspruch auf Rentenleistungen verneinte.</w:t>
      </w:r>
    </w:p>
    <w:p>
      <w:r>
        <w:rPr>
          <w:b/>
        </w:rPr>
        <w:t>E. 3.1</w:t>
      </w:r>
    </w:p>
    <w:p>
      <w:r>
        <w:t>Das kantonale Gericht nahm eine Würdigung der medizinischen Unterlagen vor. In dem im Verfahren nach Art. 44 ATSG eingeholten Gutachten vom 16. Oktober 2012 diagnostizierte Dr. med. G.________ eine mittelgradige depressive Episode mit somatischem Syndrom (ICD-10:F32.11) und ein chronisches Schmerzsyndrom mit somatischen und psychischen Faktoren im Sinne einer anhaltenden somatoformen Schmerzstörung (ICD-10:F45.41). Im Rahmen der Beantwortung der ihm von der IV-Stelle unterbreiteten Fragen führte der psychiatrische Gutachter aus, die depressive Symptomatik habe sich verselbstständigt. Sekundär zum chronischen Schmerzsyndrom sei eine depressive Episode dazugekommen, die trotz Behandlung nicht vollständig abgeklungen sei. Die Ausprägung der Depression sei im Verlauf fluktuierend gewesen, ohne dass es jedoch zu einer vollständigen Aufhellung gekommen sei. Die Verschlechterung sei im Herbst 2010 eingetreten. Wesentliche psychosoziale Faktoren, die sich unabhängig von der Erkrankung auf die Arbeitsfähigkeit auswirken würden, hätten sich anlässlich der Untersuchung nicht feststellen lassen. Bezüglich einer optimal angepassten Tätigkeit attestiert der Psychiater eine Arbeitsfähigkeit von 50 Prozent. Demgegenüber geht der RAD-Arzt in der erwähnten Aktenbeurteilung von einer massgeblichen Beeinflussung der Befindlichkeit der Versicherten durch psychosoziale Belastungsfaktoren aus. Zudem habe entgegen der Auffassung von Dr. med. G.________ ab November 2010 nicht unverändert eine depressive Episode bestanden. Vielmehr habe im Rahmen einer stationären Therapie lediglich noch eine knapp mittelgradige depressive Episode vorgelegen, welche bis zum Klinikaustritt therapeutisch gut habe beeinflusst werden können. Laut RAD-Arzt ist von einer bis vor den Unfall im Jahre 2002 zurückliegenden unglücklichen beruflichen und persönlichen Entwicklung auszugehen, welche durch den jahrelangen Rechtsstreit und die somatoforme Schmerzstörung akzentuiert worden sei und zu Unzufriedenheit und depressiven Verstimmungszuständen geführt habe. Verlusterlebnisse im Jahre 2011 hätten zusätzlich zur Entwicklung von rezidivierenden depressiven Episoden geführt, welche grundsätzlich therapeutisch gut zu beeinflussen und rückbildungsfähig seien. Eine von der somatoformen Schmerzstörung losgelöste schwere Affekterkrankung mit dauerhafter Auswirkung auf die Arbeitsfähigkeit liege nicht vor. Die Ärzte der Klinik C.________ diagnostizierten im Austrittsbericht vom 21. Mai 2012 nach einer stationären psychiatrischen Behandlung vom 27. März bis 16. Mai 2012 eine mittelgradige depressive Episode mit somatischem Syndrom (ICD-10:F32.11), bei Verdacht auf somatoforme Störung (ICD-10:F45.8). Sie gingen von einer 30 prozentigen Arbeitsfähigkeit ab 21. Mai 2012 aus mit der Empfehlung, die tägliche Arbeitszeit sollte vier bis fünf Stunden nicht übersteigen.</w:t>
      </w:r>
    </w:p>
    <w:p>
      <w:r>
        <w:rPr>
          <w:b/>
        </w:rPr>
        <w:t>E. 3.2</w:t>
      </w:r>
    </w:p>
    <w:p>
      <w:r>
        <w:t>Das kantonale Gericht erachtete die Kritik des Dr. med. L.________ am Gutachten des Dr. med. G.________ als berechtigt. Die Beurteilung des externen psychiatrischen Gutachters bezeichnete es als wenig schlüssig und dessen Aussagen als teilweise fragwürdig. Es verneinte insbesondere den Eintritt einer wesentlichen Verschlechterung des Gesundheitszustandes mit Auswirkung auf die Arbeits- und Erwerbsfähigkeit und betrachtete die mittelgradige depressive Episode mit somatischem Syndrom weder als eigenständige psychische Erkrankung noch als relevante psychische Komorbidität. Den invalidisierenden Charakter des gesamten Beschwerdebildes beurteilte es als eine Rechtsfrage nach der mit BGE 130 V 352 begründeten Rechtsprechung und verneinte diesen.</w:t>
      </w:r>
    </w:p>
    <w:p>
      <w:r>
        <w:rPr>
          <w:b/>
        </w:rPr>
        <w:t>E. 3.3</w:t>
      </w:r>
    </w:p>
    <w:p>
      <w:r>
        <w:t>Damit folgte das kantonale Gericht im Wesentlichen dem Aktengutachten des Dr. med. L.________ und damit der Stellungnahme eines versicherungsinternen Arztes. Auf die Berichte verwaltungsinterner medizinischer Fachpersonen kann dann abgestellt werden, wenn auch keine geringen Zweifel an der Zuverlässigkeit und Schlüssigkeit ihrer Feststellungen bestehen ( BGE 135 V 465 E. 4.6 S. 471). Diese Voraussetzung ist vorliegend indessen nicht erfüllt. Mit Blick auf die von Dr. med. L.________ vorgebrachten Einwände hätte Dr. med. G.________ bereits durch die Verwaltung zunächst mit der Stellungnahme des RAD-Arztes konfrontiert und - falls die verbleibenden Zweifel nicht hätten ausgeräumt werden können - allenfalls eine neutrale psychiatrische Begutachtung eingeholt werden müssen, bevor abschliessend über das Leistungsbegehren entschieden wurde. Da die Frage entscheidend ist, ob eine eigenständige depressive Erkrankung vorliegt und diese invalidisierend ist und damit verbunden, ob im massgebenden Beurteilungszeitraum eine Verschlechterung des Gesundheitszustandes eingetreten ist, würde es gegen die hievor dargelegten Beweiswürdigungsgrundsätze und damit mittelbar gegen den aus Art. 6 EMRK fliessenden Grundsatz der Waffengleichheit verstossen, wenn der Fall abschliessend entschieden würde, ohne zunächst zumindest eine Stellungnahme des externen Gutachters einzuholen.</w:t>
      </w:r>
    </w:p>
    <w:p>
      <w:r>
        <w:rPr>
          <w:b/>
        </w:rPr>
        <w:t>E. 3.4</w:t>
      </w:r>
    </w:p>
    <w:p>
      <w:r>
        <w:t>Die Sache ist demnach im Sinne der Erwägungen und anschliessender neuer Entscheidung an die Vorinstanz zurückzuweisen.</w:t>
      </w:r>
    </w:p>
    <w:p>
      <w:r>
        <w:rPr>
          <w:b/>
        </w:rPr>
        <w:t>E. 4</w:t>
      </w:r>
    </w:p>
    <w:p>
      <w:r>
        <w:t>Dem Prozessausgang entsprechend sind die Gerichtskosten der unterliegenden IV-Stelle aufzuerlegen ( Art. 66 Abs. 1 BGG ). Diese hat der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