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8C_872/2010 vom 7. Juli 2011</w:t>
      </w:r>
    </w:p>
    <w:p>
      <w:r>
        <w:t>Bundesgericht, 2011-07-07, FR</w:t>
      </w:r>
    </w:p>
    <w:p>
      <w:r>
        <w:rPr>
          <w:b/>
        </w:rPr>
        <w:t xml:space="preserve">Quelle: </w:t>
      </w:r>
      <w:r>
        <w:t>https://mcp.opencaselaw.ch/entscheid/bger_8C_872_2010</w:t>
      </w:r>
    </w:p>
    <w:p>
      <w:r>
        <w:t>FR: TF 8C_872/2010 du 7 juillet 2011</w:t>
      </w:r>
    </w:p>
    <w:p>
      <w:r>
        <w:t>IT: TF 8C_872/2010 del 7 luglio 2011</w:t>
      </w:r>
    </w:p>
    <w:p>
      <w:pPr>
        <w:pStyle w:val="Heading2"/>
      </w:pPr>
      <w:r>
        <w:t>Erwägungen</w:t>
      </w:r>
    </w:p>
    <w:p>
      <w:r>
        <w:rPr>
          <w:b/>
        </w:rPr>
        <w:t>E. 1</w:t>
      </w:r>
    </w:p>
    <w:p>
      <w:r>
        <w:t>Formellement, le jugement attaqué est une décision de renvoi. En principe, les décisions de renvoi sont des décisions incidentes qui ne peuvent faire l'objet d'un recours au Tribunal fédéral qu'aux conditions de l' art. 93 LTF ( ATF 133 V 477 consid. 4.2 et 4.3 p. 481 et les arrêts cités). Dans la mesure où la recourante pourrait être tenue, en vertu de ce renvoi, de rendre une décision qui, selon elle, est contraire au droit fédéral, elle subit un préjudice irréparable au sens de l' art. 93 al. 1 let. a LTF (sur cette notion, voir ATF 134 I 83 consid. 3.1 p. 87). Un recours immédiat au Tribunal fédéral est donc possible dans ce cas.</w:t>
      </w:r>
    </w:p>
    <w:p>
      <w:r>
        <w:rPr>
          <w:b/>
        </w:rPr>
        <w:t>E. 2</w:t>
      </w:r>
    </w:p>
    <w:p>
      <w:r>
        <w:t>La recourante ne conteste pas que les déchirures tendineuses et ligamentaires subies par l'intimée sont des affections visées par l' art. 9 al. 2 let . f et g OLAA. La question est de savoir si ces troubles sont en relation de causalité avec l'incident de parapente tel que décrit par l'assurée et survenu en octobre 2005, ce que conteste la recourante.</w:t>
      </w:r>
    </w:p>
    <w:p>
      <w:r>
        <w:rPr>
          <w:b/>
        </w:rPr>
        <w:t>E. 3</w:t>
      </w:r>
    </w:p>
    <w:p>
      <w:r>
        <w:t>L'existence d'une lésion corporelle assimilée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(voir par exemple l'arrêt 8C_35/2008 du 30 octobre 2008 consid. 2.1).</w:t>
      </w:r>
    </w:p>
    <w:p>
      <w:r>
        <w:rPr>
          <w:b/>
        </w:rPr>
        <w:t>E. 4.1</w:t>
      </w:r>
    </w:p>
    <w:p>
      <w:r>
        <w:t>Après avoir relevé que le diagnostic posé par les premiers médecins était une épitrochléite, l'experte expose que cette affection est un processus dégénératif qui atteint les muscles fléchisseurs et pronateurs de l'avant-bras à leur insertion sur le condyle médial de l'humérus. L'épitrochléite résulte le plus souvent de mouvements répétés en flexion du poignet et/ou en pronation de l'avant-bras (mouvement de rotation du poignet avec la paume en direction du sol). Ces mouvements répétitifs sont soit le fait d'une activité professionnelle soit d'une activité sportive. L'histoire naturelle de cette pathologie va généralement vers une lente résolution avec des périodes d'exacerbation intermittentes qui sont fonction de l'activité. L'experte rappelle d'autre part que le second diagnostic, posé par le docteur T.________ sur le base de l'arthro-IRM du coude (du 29 mars 2007) et de ses découvertes per-opératoires (le 13 avril 2007) est celui d'une rupture sub-totale (90 %) des tendons fléchisseurs et pronateurs de l'avant-bras à leur insertion au niveau de l'épicondyle médial et d'une lésion partielle du ligament collatéral cubital. Ce diagnostic s'inscrit donc dans le cadre des lésions assimilées ( art. 9 al. 2 OLAA ).</w:t>
      </w:r>
    </w:p>
    <w:p>
      <w:r>
        <w:t>L'experte relève par ailleurs que l'évolution d'une épitrochléite peut se faire à long terme vers des micro-déchirures des tendons incriminés. Le diagnostic posé par le radiologue puis par le chirurgien est celui d'une déchirure quasi complète de la plaque d'insertion des tendons incriminés, associée à une déchirure sub-totale d'un ligament stabilisateur du coude. L'experte est parvenue à la conclusion que le violent choc ressenti au niveau du coude droit par l'assurée lorsque la voile s'est regonflée lors d'une manoeuvre dite SAT en parapente peut de façon vraisemblable être la cause des lésions décrites au niveau de son coude gauche. Le mode de survenue brutale, puis les lésions décrites radiologiquement et par le chirurgien sortent du cadre d'une épitrochléite classique. L'évolution tout à fait simple après une réinsertion tendineuse tend à confirmer cette hypothèse. Par ailleurs, on ne trouve anamnestiquement aucun mouvement répétitif d'origine professionnelle ou sportive que l'on pourrait incriminer dans l'étiologie de la pathologie. Cette conclusion se fonde notamment sur le passage suivant du rapport d'expertise:</w:t>
      </w:r>
    </w:p>
    <w:p>
      <w:r>
        <w:t>« L'évolution d'une épitrochléite peut se faire à long terme vers des micro-déchirures des tendons incriminés. Je ne connais pas d'étude qui ait démontré jusqu'à quelle taille peuvent s'étendre ces déchirures. Le diagnostic posé par le radiologue puis par le chirurgien est celui d'une déchirure quasi complète de la plaque d'insertion des tendons incriminés, associée à une déchirure subtotale d'un ligament stabilisateur du coude. L'importance des lésions témoigne d'une origine traumatique brutale ou pourrait être la conséquence de la très longue évolution d'une épicondylite. Or, ni l'assurée, ni aucun rapport médical ne font mention de douleurs au niveau du coude gauche qui auraient précédé l'événement d'octobre 2005. Par ailleurs, ni la profession de Mme B._________ (enseignante d'allemand), ni la pratique d'un sport connu pour générer des lésions de l'épitrochlée (golf, sports de lancer) ne peuvent être mises en cause ».</w:t>
      </w:r>
    </w:p>
    <w:p>
      <w:r>
        <w:rPr>
          <w:b/>
        </w:rPr>
        <w:t>E. 4.2</w:t>
      </w:r>
    </w:p>
    <w:p>
      <w:r>
        <w:t>Sous la rubrique «Rappel du déroulement des faits», l'experte commence par relater que l'assurée, droitière, sportive, pratique le parapente régulièrement depuis 1989. Elle expose qu'en octobre 2005, en vol avec une météo stable, l'assurée a décidé de pratiquer une manoeuvre dite « SAT» durant laquelle le parapentiste ébauche un virage avec la partie ventrale qui suit la courbe puis se retourne, et termine le virage avec la partie dorsale en avant. Cette manoeuvre est faite trop lentement puisque le parapente se détend et que, pour sortir de cette situation éminemment dangereuse, l'intéressée doit relâcher le frein de manière à restaurer la tension sur la voile. Celle-ci se regonfle instantanément, avec violence, dans un claquement. L'assurée ressent d'emblée une forte douleur au niveau de la face interne du coude gauche. L'atterrissage peut toutefois se dérouler sans encombre. Dans les jours qui suivent, l'assurée peut utiliser son bras, mais de nombreux gestes de la vie quotidienne génèrent des douleurs (s'essuyer les mains, appuyer sur un tube de dentifrice, tourner un robinet, pincer l'anse d'une tasse, etc). Elle croit que la situation va s'améliorer en épargnant son coude, mais devant la persistance des symptômes, elle consulte le docteur M.________.</w:t>
      </w:r>
    </w:p>
    <w:p>
      <w:r>
        <w:rPr>
          <w:b/>
        </w:rPr>
        <w:t>E. 4.3</w:t>
      </w:r>
    </w:p>
    <w:p>
      <w:r>
        <w:t>Si l'on peut admettre que les conclusions de l'expertise, fondées sur cet état de fait, ne sont pas critiquables, on doit cependant constater que ces faits reposent sur les seules déclarations que l'assurée a faites environ 18 mois après l'incident (survenu en octobre 2005), complétées au cours des deux entretiens (9 novembre 2009 et 1er février 2010) avec l'experte. En effet, sur le moment et dans les mois qui ont suivi, l'assurée n'a pas mis ses douleurs en relation avec cet incident. Elle a consulté pour la première fois un médecin le 31 janvier 2006. Celui-ci - qui n'a pu se fonder que sur les propres déclarations de sa patiente - a fait état de douleurs apparues progressivement. Il n'a pas fait mention d'un quelconque événement qui en serait à l'origine. Le docteur U.________, qui a vu la patiente le 10 juillet 2006, signale l'apparition, en octobre 2005, de douleurs de la face interne du coude droit puis du coude gauche et de l'épaule gauche. Il précise que la patiente a reçu une injection de niveau de l'épitrochlée du coude gauche et un traitement de physiothérapie avec amélioration progressive. Il signale une réactivation des douleurs de l'épaule et du coude gauches en pratiquant le parapente (traction sur les sangles). Cette dernière phrase donne à penser que l'intéressée a encore pratiqué le parapente entre le mois d'octobre 2005 et le mois de juillet 2006. Certes, l'experte note à ce propos que l'assurée conteste avoir pratiqué ce sport après l'événement décrit. Mais, sur ce point également, l'experte reprend les déclarations de l'intéressée, sans les mettre en doute et sans envisager l'hypothèse - pourtant crédible selon les renseignements obtenus vraisemblablement de sa patiente par le docteur U.________ - d'une reprise des vols durant la période en question. Finalement, c'est seulement après que l'intimée a eu connaissance de l'existence du diagnostic du docteur T.________ et des découvertes per-opératoires qu'elle a rapporté les lésions subies à un événement survenu en octobre 2005.</w:t>
      </w:r>
    </w:p>
    <w:p>
      <w:r>
        <w:rPr>
          <w:b/>
        </w:rPr>
        <w:t>E. 4.4</w:t>
      </w:r>
    </w:p>
    <w:p>
      <w:r>
        <w:t>Dans ces conditions, on ne peut admettre, au degré de vraisemblance prépondérante, que les lésions en question soient en relation avec un événement unique qui serait survenu à cette date (supra consid. 3). Ce d'autant moins que l'experte n'a pas exclu la possibilité que les lésions puissent être la conséquence d'une très longue évolution d'une épicondylite. Il a fallu environ une année et demie pour que l'assurée attribue l'atteinte à la santé à une cause précise, ce qui reste inexpliqué et inexplicable.</w:t>
      </w:r>
    </w:p>
    <w:p>
      <w:r>
        <w:rPr>
          <w:b/>
        </w:rPr>
        <w:t>E. 5</w:t>
      </w:r>
    </w:p>
    <w:p>
      <w:r>
        <w:t>Pour ces motifs, le recours doit être admis et il n'est pas nécessaire d'ordonner une nouvelle expertise médicale.</w:t>
      </w:r>
    </w:p>
    <w:p>
      <w:r>
        <w:t>L'intimée, qui succombe, supportera les frais judiciaires ( art. 66 al. 1 LTF ). Quant à la recourante, bien qu'elle obtienne gain de cause, elle ne saurait se voir allouer les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