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8C_871/2011 vom 13. Juni 2012</w:t>
      </w:r>
    </w:p>
    <w:p>
      <w:r>
        <w:t>Bundesgericht, 2012-06-13, DE</w:t>
      </w:r>
    </w:p>
    <w:p>
      <w:r>
        <w:rPr>
          <w:b/>
        </w:rPr>
        <w:t xml:space="preserve">Quelle: </w:t>
      </w:r>
      <w:r>
        <w:t>https://mcp.opencaselaw.ch/entscheid/bger_8C_871_2011</w:t>
      </w:r>
    </w:p>
    <w:p>
      <w:r>
        <w:t>FR: TF 8C_871/2011 du 13 juin 2012</w:t>
      </w:r>
    </w:p>
    <w:p>
      <w:r>
        <w:t>IT: TF 8C_871/2011 del 13 giugno 2012</w:t>
      </w:r>
    </w:p>
    <w:p>
      <w:pPr>
        <w:pStyle w:val="Heading2"/>
      </w:pPr>
      <w:r>
        <w:t>Erwägungen</w:t>
      </w:r>
    </w:p>
    <w:p>
      <w:r>
        <w:rPr>
          <w:b/>
        </w:rPr>
        <w:t>E. 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(BGE 8C_930/2010 vom 30. März 2011 E. 1.2; BGE 135 V 94 E. 1 S. 95 mit Hinweis).</w:t>
      </w:r>
    </w:p>
    <w:p>
      <w:r>
        <w:t>Das Bundesgericht wendet das Recht grundsätzlich von Amtes wegen an ( Art. 106 Abs. 1 BGG ).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BGE 134 II 244 E. 2.2 S. 246). Wird eine Verletzung des Willkürverbots geltend gemacht, muss im Einzelnen dargelegt werden, inwiefern der angefochtene Erlass an einem qualifizierten und offensichtlichen Mangel leidet ( BGE 136 I 49 E. 1.4.1 S. 53 mit Hinweisen).</w:t>
      </w:r>
    </w:p>
    <w:p>
      <w:r>
        <w:rPr>
          <w:b/>
        </w:rPr>
        <w:t>E. 2.1</w:t>
      </w:r>
    </w:p>
    <w:p>
      <w:r>
        <w:t>Rechtsverletzungen im Sinne von Art. 95 lit. a BGG prüft das Bundesgericht grundsätzlich frei, einschliesslich die Frage, ob die Auslegung und Anwendung des kantonalen Rechts zu einer Bundesrechtswidrigkeit führt respektive den Grundsatz der derogatorischen Kraft des Bundesrechts verletzt ( Art. 49 Abs. 1 BV ). Im Übrigen prüft das Bundesgericht die Handhabung des kantonalen Rechts - vorbehältlich der in Art. 95 lit. c und d BGG genannten Fälle - bloss auf Willkür hin ( Art. 9 BV ; vgl. Urteil 8C_211/2010 vom 19. August 2010 E. 2.1 mit Hinweisen).</w:t>
      </w:r>
    </w:p>
    <w:p>
      <w:r>
        <w:t>Wird im Rahmen kantonalen Verfahrensrechts auf Bestimmungen des BGG verwiesen, handelt es sich dabei ebenfalls um kantonales Recht (vgl. Urteil 8C_211/2010 vom 19. August 2010 E. 2.1 mit weiteren Hinweisen zur analogen Anwendung des OR infolge Verweises im kantonalen öffentlichen Personalrecht). Somit gilt für die gerügte Anwendung des kantonalen Verfahrensrechts der Massstab der Willkür.</w:t>
      </w:r>
    </w:p>
    <w:p>
      <w:r>
        <w:rPr>
          <w:b/>
        </w:rPr>
        <w:t>E. 2.2</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w:t>
      </w:r>
    </w:p>
    <w:p>
      <w:r>
        <w:rPr>
          <w:b/>
        </w:rPr>
        <w:t>E. 3</w:t>
      </w:r>
    </w:p>
    <w:p>
      <w:r>
        <w:t>Die Beschwerdeführerin macht u.a. geltend, die Vorinstanz habe es zu Unrecht unterlassen, ihre Rüge bezüglich der Angemessenheit der Weisung gemäss Beschluss vom 31. August 2010 materiell zu überprüfen; insbesondere habe die Vorinstanz zu Unrecht angenommen, dass der Beschluss vom 31. August 2010 eine anfechtbare Verfügung darstelle. Dazu verweist die Beschwerdeführerin auf das Urteil 8C_716/2009 vom 22. Oktober 2009.</w:t>
      </w:r>
    </w:p>
    <w:p>
      <w:r>
        <w:rPr>
          <w:b/>
        </w:rPr>
        <w:t>E. 4.1</w:t>
      </w:r>
    </w:p>
    <w:p>
      <w:r>
        <w:t>Mit Urteil 8C_650/2009 vom 21. Januar 2010 hat das Bundesgericht entschieden, die kantonale Praxis, wonach Auflagen und Weisungen in Verfügungsform zu erlassen sind, verletze weder die Gemeindeautonomie (E. 6.2) noch das Willkürverbot gemäss Art. 9 BV (E. 7.2) und verstosse damit nicht gegen Bundesrecht. Daran ist festzuhalten.</w:t>
      </w:r>
    </w:p>
    <w:p>
      <w:r>
        <w:rPr>
          <w:b/>
        </w:rPr>
        <w:t>E. 4.2</w:t>
      </w:r>
    </w:p>
    <w:p>
      <w:r>
        <w:t>Streitig und zu prüfen bleibt die Frage, ob es sich bei solchen Weisungen und Auflagen um End- oder Zwischenentscheide handelt. Diese Unterscheidung ist wesentlich im Rahmen des Rechtsmittelverfahrens, da Zwischenentscheide nur ausnahmsweise in Rechtskraft erwachsen und in der Regel die Möglichkeit besteht, diese im Rahmen des Endentscheids anzufechten (vgl. E. 4.3.3 nachfolgend).</w:t>
      </w:r>
    </w:p>
    <w:p>
      <w:r>
        <w:rPr>
          <w:b/>
        </w:rPr>
        <w:t>E. 4.3</w:t>
      </w:r>
    </w:p>
    <w:p>
      <w:r>
        <w:t>Die Frage, ob es sich bei den Weisungen und Auflagen im Rahmen der kantonalzürcherischen Sozialhilfe um End- oder Zwischenverfügungen handelt, hat das Bundesgericht bis anhin nicht entschieden.</w:t>
      </w:r>
    </w:p>
    <w:p>
      <w:r>
        <w:rPr>
          <w:b/>
        </w:rPr>
        <w:t>E. 4.3.1</w:t>
      </w:r>
    </w:p>
    <w:p>
      <w:r>
        <w:t>Auch wenn sich diese Feststellung dem vorinstanzlichen Entscheid nicht explizit entnehmen lässt, ist unter Berücksichtigung der im Entscheid angeführten kantonalen Rechtsprechung davon auszugehen, dass das Zürcher Verwaltungsgericht den Beschluss vom 31. August 2010 als Endverfügung wertete und deshalb auf eine materielle Prüfung der Rügen bezüglich der Weisung zur Suche einer weniger teuren Wohnung verzichtete.</w:t>
      </w:r>
    </w:p>
    <w:p>
      <w:r>
        <w:rPr>
          <w:b/>
        </w:rPr>
        <w:t>E. 4.3.2</w:t>
      </w:r>
    </w:p>
    <w:p>
      <w:r>
        <w:t>Gemäss § 21 des Zürcher Sozialhilfegesetzes vom 14. Juni 1981 (SHG; LS 851.1) darf die wirtschaftliche Hilfe mit Auflagen und Weisungen verbunden werden, die sich auf die richtige Verwendung der Beiträge beziehen oder geeignet sind, die Lage des Hilfeempfängers und seiner Angehörigen zu verbessern. Die Sozialhilfeleistungen sind angemessen zu kürzen, wenn die hilfesuchende Person gegen Anordnungen, Auflagen oder Weisungen der Fürsorgebehörde verstösst (§ 24 Abs. 1 lit. a Ziff. 1 SHG) und schriftlich auf die Möglichkeit der Leistungskürzung hingewiesen worden ist (§ 24 Abs. 1 lit. b SHG). Nach § 23 lit. d der Verordnung zum Sozialhilfegesetz vom 21. Oktober 1981 (SHV; LS 851.11) kann die wirtschaftliche Hilfe mit Auflagen oder Weisungen im Sinne der Aufnahme einer zumutbaren Arbeit oder ähnlichen, nach den Umständen angebrachten Verhaltensmassregeln verbunden werden. Bei Nichtbefolgung der Anordnungen und vorgängigem schriftlichem Hinweis auf die Möglichkeit der Leistungskürzung kann die Fürsorgebehörde die Leistungen kürzen (§ 24 SHV). Weder das SHG noch die SHV äussern sich jedoch näher über die Natur der verfügungsweise erlassenen Auflagen resp. Weisungen.</w:t>
      </w:r>
    </w:p>
    <w:p>
      <w:r>
        <w:rPr>
          <w:b/>
        </w:rPr>
        <w:t>E. 4.3.3</w:t>
      </w:r>
    </w:p>
    <w:p>
      <w:r>
        <w:t>Der seit 1. Juli 2010 in Kraft stehende § 19a des Zürcher Verwaltungsrechtspflegegesetzes vom 24. Mai 1959 (VRG; LS 175.2) besagt bezüglich der mit Rekurs anfechtbaren Akte:</w:t>
      </w:r>
    </w:p>
    <w:p>
      <w:r>
        <w:t>1 Anfechtbar sind Anordnungen, die das Verfahren abschliessen.</w:t>
      </w:r>
    </w:p>
    <w:p>
      <w:r>
        <w:t>2 Die Anfechtbarkeit von Teil-, Vor- und Zwischenentscheiden richtet sich sinngemäss nach Art. 91-93 des Bundesgerichtsgesetzes vom 17. Juni 2005.</w:t>
      </w:r>
    </w:p>
    <w:p>
      <w:r>
        <w:t>Gemäss § 41 Abs. 1 VRG beurteilt das Verwaltungsgericht als letzte kantonale Instanz Beschwerden gegen Akte im Sinne von § 19 Abs. 1 VRG; § 19a VRG gilt dabei sinngemäss (Abs. 3). Art. 91 bis 93 BGG sind damit nach bundesgerichtlicher Rechtsprechung nicht als Bundesrecht, wohl aber als subsidiär geltendes kantonales Recht anwendbar (vgl. etwa 8C_211/2010 vom 19. August 2010 E. 2.1 zum subsidiär geltenden OR im Rahmen kantonalrechtlicher öffentlicher Dienstverhältnisse). Nach Art. 93 Abs. 1 BGG ist die Beschwerde in öffentlich-rechtlichen Angelegenheiten gegen selbstständig eröffnete Zwischenentscheide zulässig, sofern diese einen nicht wieder gut zumachenden Nachteil bewirken können (lit. a) oder wenn die Gutheissung der Beschwerde sofort einen Endentscheid herbeiführt und dabei ein bedeutender Aufwand an Zeit und Kosten erspart werden kann (lit. b); ist eine Beschwerde gegen einen Zwischenentscheid nicht zulässig oder wurde von ihr kein Gebrauch gemacht, so sind die betreffenden Zwischenentscheide durch Beschwerde gegen den Endentscheid anfechtbar, sofern sie sich auf dessen Inhalt auswirken (Abs. 3). Die noch junge kantonale Praxis verweist dabei auch auf die Rechtsprechung des Bundesgerichts zu Art. 93 BGG (vgl. Entscheid VB.2011.00751 vom 22. Februar 2012 E. 1.1 oder Entscheid VB.2011.00600 vom 20. Januar 2012 E. 1.2, je mit Hinweisen auf die Rechtsprechung resp. Lehre zum BGG).</w:t>
      </w:r>
    </w:p>
    <w:p>
      <w:r>
        <w:rPr>
          <w:b/>
        </w:rPr>
        <w:t>E. 4.3.4</w:t>
      </w:r>
    </w:p>
    <w:p>
      <w:r>
        <w:t>Eine Verfügung, welche der Sozialhilfe beziehenden Person (Verhaltens-) Pflichten auferlegt, beeinflusst ihre rechtliche Situation und kann in ihre Grundrechte (z.B. persönliche Freiheit) eingreifen. Die Weisung ist auch erster, notwendiger Schritt im Rahmen einer allfälligen Leistungskürzung. Die Sozialhilfe beziehende Person kann deshalb ein schützwürdiges Interesse haben, die auferlegte (Verhaltens-) Pflicht umgehend anfechten zu können und nicht die nachfolgende leistungskürzende Verfügung abwarten zu müssen. Andererseits ist der Schutz der Grundrechte derart fundamental, dass eine Verwirkung des Anfechtungsrechts nicht leichthin anzunehmen ist und der betroffenen Person - gerade auch im Hinblick auf die Rechtsprechung des Europäischen Gerichtshofs für Menschenrechte (vgl. etwa Jochen Frowein/Wolfgang Peukert, Europäische Menschenrechtskonvention, 3. Aufl. 2009, N. 66 zu Art. 6 EMRK , Jens Meyer-Ladewig, EMRK, Europäische Menschenrechtskonvention, 3. Aufl. 2011, N. 13 zu Art. 6 EMRK sowie Ulrich Karpenstein/Franz Mayer, EMRK, Konvention zum Schutz der Menschenrechte und Grundfreiheiten, 2012, N. 22 zu Art. 6 EMRK ) - eine globale Einschätzung ihrer persönlichen Situation in Kenntnis der gesamten Umstände (d.h. einschliesslich der konkreten negativen Sanktionen bei Nichtbefolgung der Weisung) möglich sein muss. Im Rahmen einer bundesrechtlichen Betrachtungsweise ist die strittige Weisung denn auch als Zwischenverfügung zu bezeichnen, da sie das Verfahren nicht beendet, sondern lediglich einen unverzichtbaren ersten Schritt im Rahmen des auf Reduktion der Sozialhilfeleistungen eingeleiteten Verfahrens darstellt.</w:t>
      </w:r>
    </w:p>
    <w:p>
      <w:r>
        <w:rPr>
          <w:b/>
        </w:rPr>
        <w:t>E. 4.3.5</w:t>
      </w:r>
    </w:p>
    <w:p>
      <w:r>
        <w:t>Die Festlegungen der Weisungen und Auflagen einerseits und die Kürzung der Sozialhilfe bei deren Nichtbefolgung andererseits stehen denn auch in einem sehr engen inneren Zusammenhang. Für die rechtsuchende Person ist die Beurteilung der Verhältnismässigkeit der Weisung und der angedrohten Sanktion a priori schwierig zu beurteilen. Sie soll nicht dazu verhalten werden, die Weisung als solche zum vornherein, gleichsam auf Vorrat, anzufechten (andere Meinung etwa Rudolf Bodmer, Die Hilfe zur Selbsthilfe in der Sozialhilfe, www.hslu.ch/sozialearbeit/s-veranstaltungen/s-kongresse-archiv/s-sozialhilferecht_zumutbare_selbsthilfe.htm, S. 31). Vielmehr soll der Schwerpunkt ihrer Bemühungen auf dem Bestreben, die Weisung erfüllen zu können, liegen. Es sprechen daher auch materielle Überlegungen für die Lösung, Weisungen und Auflagen als Zwischenentscheide und nicht als selbstständige Verfügung zu betrachten.</w:t>
      </w:r>
    </w:p>
    <w:p>
      <w:r>
        <w:rPr>
          <w:b/>
        </w:rPr>
        <w:t>E. 4.4</w:t>
      </w:r>
    </w:p>
    <w:p>
      <w:r>
        <w:t>Nach dem Gesagten handelt es sich bei den Weisungen und Auflagen im Sinne von § 21 SHG im Rahmen der Betrachtungsweise des Bundesgerichts um Zwischenentscheide (E. 4.3.4 und 4.3.5), welche nicht in Rechtskraft erwachsen (können). Da der Beschluss vom 31. August 2010 somit eine Zwischenverfügung darstellt, war die Vorinstanz gemäss § 41 in Verbindung mit § 19a VRG, das diesbezüglich auf Art. 93 BGG verweist, verpflichtet, die Rechtmässigkeit dieser Zwischenverfügung zusammen mit dem Endentscheid zu überprüfen, weil gegen die Zwischenverfügung vom Beschwerderecht kein Gebrauch gemacht worden war und sich der Zwischenentscheid auf den Inhalt des Endentscheides - hier der Leistungskürzungsverfügung vom 1. März 2011 - auswirkt. Indem die Vorinstanz sich nicht zu einer Überprüfung der Einwände gegen den Beschluss vom 31. August 2010 verpflichtet sah, hat sie das VRG in nicht vertretbarer Weise ausgelegt. Angesichts des Umstandes, dass das kantonale Recht auf die Regelung im Verfahren vor Bundesgericht verweist, ist eine Diskrepanz in der Qualifizierung als Zwischen- oder Endentscheid nicht hinzunehmen. Der vorinstanzliche Entscheid führt damit zu einem stossenden Ergebnis und ist deshalb als willkürlich und bundesrechtswidrig zu qualifizieren. In diesem Sinne ist die Beschwerde gutzuheissen und die Sache unter Aufhebung des kantonalen Entscheids an das Verwaltungsgericht zurückzuweisen, damit es über die materiellen Vorbringen in der Beschwerde vom 7. Juli 2011 entscheide.</w:t>
      </w:r>
    </w:p>
    <w:p>
      <w:r>
        <w:rPr>
          <w:b/>
        </w:rPr>
        <w:t>E. 5</w:t>
      </w:r>
    </w:p>
    <w:p>
      <w:r>
        <w:t>Das Verfahren ist kostenpflichtig ( Art. 66 Abs. 1 BGG ). Die unterliegende Beschwerdegegnerin hat die Gerichtskosten zu tragen.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