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8C_86/2024 vom 19. März 2024</w:t>
      </w:r>
    </w:p>
    <w:p>
      <w:r>
        <w:t>Bundesgericht, 2024-03-19, FR</w:t>
      </w:r>
    </w:p>
    <w:p>
      <w:r>
        <w:rPr>
          <w:b/>
        </w:rPr>
        <w:t xml:space="preserve">Quelle: </w:t>
      </w:r>
      <w:r>
        <w:t>https://mcp.opencaselaw.ch/entscheid/bger_8C_86_2024</w:t>
      </w:r>
    </w:p>
    <w:p>
      <w:r>
        <w:t>FR: TF 8C_86/2024 du 19 mars 2024</w:t>
      </w:r>
    </w:p>
    <w:p>
      <w:r>
        <w:t>IT: TF 8C_86/2024 del 19 marzo 2024</w:t>
      </w:r>
    </w:p>
    <w:p>
      <w:pPr>
        <w:pStyle w:val="Heading2"/>
      </w:pPr>
      <w:r>
        <w:t>Erwägungen</w:t>
      </w:r>
    </w:p>
    <w:p>
      <w:r>
        <w:rPr>
          <w:b/>
        </w:rPr>
        <w:t>E. 1</w:t>
      </w:r>
    </w:p>
    <w:p>
      <w:r>
        <w:t>Le Tribunal fédéral examine d'office et librement la recevabilité des recours qui lui sont soumis ( ATF 145 I 239 consid. 2).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148 IV 205 consid. 2.6; 140 III 86 consid. 2; 138 I 171 consid. 1.4). La motivation doit être topique, c'est-à-dire se rapporter à la question juridique tranchée par l'autorité cantonale. En particulier, un recours ne comportant que des arguments sur le fond, alors que l'autorité dont le jugement est attaqué ne traite que d'une question de procédure, ne constitue pas un recours valable, faute de contenir une motivation topique (cf. ATF 123 V 335 ; 118 Ib 134 ).</w:t>
      </w:r>
    </w:p>
    <w:p>
      <w:r>
        <w:t>De plus, le recours en matière de droit public, sauf dans les cas cités expressément par l' art. 95 LTF , ne peut pas être formé pour violation du droit cantonal en tant que tel. Il est néanmoins possible de faire valoir que son application viole le droit fédéral, en particulier l'interdiction de l'arbitraire ( art. 9 Cst. ) ou d'autres droits constitutionnels ( ATF 143 I 321 consid. 6.1). Le Tribunal fédéral n'examine alors de tels moyens que s'ils sont formulés conformément aux exigences de motivation qualifiée prévues à l' art. 106 al. 2 LTF ( ATF 147 IV 433 consid. 2.1; 145 I 108 consid. 4.4.1). Celles-ci imposent à la partie recourante d'expliquer de manière claire et précise en quoi le droit constitutionnel aurait été violé.</w:t>
      </w:r>
    </w:p>
    <w:p>
      <w:r>
        <w:rPr>
          <w:b/>
        </w:rPr>
        <w:t>E. 3.1</w:t>
      </w:r>
    </w:p>
    <w:p>
      <w:r>
        <w:t>En l'espèce, les juges cantonaux ont laissé indécise la question de savoir si le courrier litigieux du 31 mai 2023 de la DGCS constituait une décision au sens de l'art. 3 de la loi cantonale vaudoise du 28 octobre 2008 sur la procédure administrative (LPA/VD; BLV 173.36), motif pris que le recours était manifestement tardif et donc irrecevable. Relevant que la recourante n'invoquait pas avoir tardivement pris connaissance de ce courrier, ils ont considéré qu'en dépit de l'absence d'indication d'un délai de recours, il pouvait être attendu des recourants, au vu des discussions déjà entamées avec la DGCS, qu'ils réagissent rapidement à ce courrier et se renseignent sur les possibilités de le contester, ce qu'ils n'avaient pas fait. Par ailleurs, compte tenu des nombreuses décisions de restitution rendues à leur encontre, ils n'étaient pas sans ignorer qu'une décision devait être contestée dans un certain délai.</w:t>
      </w:r>
    </w:p>
    <w:p>
      <w:r>
        <w:rPr>
          <w:b/>
        </w:rPr>
        <w:t>E. 3.2</w:t>
      </w:r>
    </w:p>
    <w:p>
      <w:r>
        <w:t>En l'occurrence, sur la question topique de la tardiveté de leur recours cantonal, les recourants se limitent à affirmer qu'ils pensaient "être dans une situation de durée indéterminée" et que l'administration aurait dû les informer de la prochaine étape à suivre en vertu du principe de la bonne foi. Au regard des exigences de motivation accrues de l' art. 106 al. 2 LTF , une telle argumentation est toutefois insuffisante à démontrer que le raisonnement suivi par la cour cantonale serait arbitraire ou aurait violé d'une autre manière les droits constitutionnel des recourants. Leur écriture doit par conséquent être déclarée irrecevable.</w:t>
      </w:r>
    </w:p>
    <w:p>
      <w:r>
        <w:rPr>
          <w:b/>
        </w:rPr>
        <w:t>E. 4</w:t>
      </w:r>
    </w:p>
    <w:p>
      <w:r>
        <w:t>Au vu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