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8C_869/2013 vom 20. Februar 2014</w:t>
      </w:r>
    </w:p>
    <w:p>
      <w:r>
        <w:t>Bundesgericht, 2014-02-20, FR</w:t>
      </w:r>
    </w:p>
    <w:p>
      <w:r>
        <w:rPr>
          <w:b/>
        </w:rPr>
        <w:t xml:space="preserve">Quelle: </w:t>
      </w:r>
      <w:r>
        <w:t>https://mcp.opencaselaw.ch/entscheid/bger_8C_869_2013</w:t>
      </w:r>
    </w:p>
    <w:p>
      <w:r>
        <w:t>FR: TF 8C_869/2013 du 20 février 2014</w:t>
      </w:r>
    </w:p>
    <w:p>
      <w:r>
        <w:t>IT: TF 8C_869/2013 del 20 febbraio 2014</w:t>
      </w:r>
    </w:p>
    <w:p>
      <w:pPr>
        <w:pStyle w:val="Heading2"/>
      </w:pPr>
      <w:r>
        <w:t>Erwägungen</w:t>
      </w:r>
    </w:p>
    <w:p>
      <w:r>
        <w:rPr>
          <w:b/>
        </w:rPr>
        <w:t>E. 1</w:t>
      </w:r>
    </w:p>
    <w:p>
      <w:r>
        <w:t>Le recours en matière de droit public est formé au motif que la cour cantonale tardait à rendre une décision incidente sur la requête de la demanderesse du 8 décembre 2008 tendant à ce que le mandat de représentation de X.________ soit retiré à M</w:t>
      </w:r>
    </w:p>
    <w:p>
      <w:r>
        <w:t>e H.________. Or, la juridiction précédente a statué sur cette requête le 17 janvier 2014.</w:t>
      </w:r>
    </w:p>
    <w:p>
      <w:r>
        <w:t>Dans un tel cas, la jurisprudence considère que le recours en matière de droit public déposé pour déni de justice a perdu son objet. En outre, les conditions auxquelles le Tribunal fédéral entre exceptionnellement en matière sur le fond d'une affaire malgré le défaut d'un intérêt juridique pratique et actuel du recours ne sont pas réunies ( ATF 136 I 274 consid 1.3 p. 276; 135 I 79 consid. 1.1 p. 81). Cet intérêt ayant disparu après le dépôt du recours, ce dernier doit être déclaré sans objet et la cause rayée du rôle ( ATF 136 III 497 consid. 2 p. 500).</w:t>
      </w:r>
    </w:p>
    <w:p>
      <w:r>
        <w:rPr>
          <w:b/>
        </w:rPr>
        <w:t>E. 2.1</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2.2</w:t>
      </w:r>
    </w:p>
    <w:p>
      <w:r>
        <w:t>Le recours pour déni de justice et retard injustifié est recevable si, sans en avoir le droit, la juridiction saisie s'abstient de rendre une décision sujette à recours ou tarde à le faire ( art. 94 LTF ). Pour que la décision à rendre soit sujette à recours, il faut notamment que la partie recourante subisse une atteinte particulière et qu'elle ait un intérêt digne de protection (art. 89 al. 1 let. b et c LTF). Lorsque la décision à rendre est une décision incidente, l'atteinte particulière et l'intérêt digne de protection sont compris dans la notion de préjudice irréparable au sens de l' art. 93 al. 1 let. a LTF , pour autant que la décision incidente requise ne concerne pas une demande de récusation au sens de l' art. 92 LTF .</w:t>
      </w:r>
    </w:p>
    <w:p>
      <w:r>
        <w:rPr>
          <w:b/>
        </w:rPr>
        <w:t>E. 2.3</w:t>
      </w:r>
    </w:p>
    <w:p>
      <w:r>
        <w:t>En l'espèce, la requête de la demanderesse du 8 décembre 2008 tendant à ce que le mandat de représentation de X.________ soit retiré à Me H.________ est motivée par un risque de conflit d'intérêts qu'un avocat est tenu d'éviter selon l' art. 12 let . c de la loi fédérale sur la libre circulation des avocats (loi sur les avocats; LLCA [RS 935.61]). Ce devoir de fidélité est en relation avec la clause générale de l' art. 12 let. a LLCA , selon lequel l'avocat exerce sa profession avec soin et diligence, ainsi qu'avec l'obligation d'indépendance mentionnée à l' art. 12 let. b LLCA ( ATF 134 II 108 consid. 3 p. 110; 130 II 87 consid. 4.2 p. 95). Aussi, la décision incidente à rendre par la cour cantonale ne concernait-elle pas une demande de récusation d'un juge ou d'un greffier, ni d'un expert, de sorte qu'elle n'aurait pas pu faire l'objet d'un recours au Tribunal fédéral fondé sur l' art. 92 LTF . Par conséquent, il convient d'examiner si une telle décision incidente aurait pu être attaquée séparément en vertu de l' art. 93 al. 1 LTF . Tel est le cas si elle eût été de nature à causer à la recourante un préjudice irréparable (let. a) ou si l'admission du recours aurait pu conduire immédiatement à une décision finale qui eût permis d'éviter une procédure probatoire longue et coûteuse (let. b).</w:t>
      </w:r>
    </w:p>
    <w:p>
      <w:r>
        <w:rPr>
          <w:b/>
        </w:rPr>
        <w:t>E. 2.4</w:t>
      </w:r>
    </w:p>
    <w:p>
      <w:r>
        <w:t>Il appartient à la partie recourante d'alléguer et d'établir la possibilité qu'une décision incidente lui cause un dommage irréparable ( ATF 134 III 426 consid. 1.2 p. 428 s. et les références citées), à moins que celui-ci ne fasse d'emblée aucun doute (arrêts 8C_903/2013 du 24 janvier 2014; 8C_871/2013 du 20 décembre 2013 consid. 1.2).</w:t>
      </w:r>
    </w:p>
    <w:p>
      <w:r>
        <w:t>En l'espèce, la recourante n'expose toutefois pas en quoi la décision incidente à rendre aurait été susceptible d'entraîner pour elle un préjudice irréparable et cette possibilité n'apparaît pas d'emblée réalisée. Par ailleurs, elle ne fait valoir aucun élément qui aurait justifié une entrée en matière exceptionnelle sur la base de l' art. 93 al. 1 let. b LTF (cf. ATF 134 III 426 consid. 1.3.2 p. 430 et les arrêts cités).</w:t>
      </w:r>
    </w:p>
    <w:p>
      <w:r>
        <w:rPr>
          <w:b/>
        </w:rPr>
        <w:t>E. 2.5</w:t>
      </w:r>
    </w:p>
    <w:p>
      <w:r>
        <w:t>Vu ce qui précède, la décision incidente à rendre n'aurait pas été sujette à recours séparément de l'arrêt au fond. Etant donné que, par ailleurs, la recourante ne se plaint pas d'un retard de la cour cantonale à rendre l'arrêt au fond, le recours pour retard doit être considéré comme irrecevable ( art. 94 LTF ).</w:t>
      </w:r>
    </w:p>
    <w:p>
      <w:r>
        <w:rPr>
          <w:b/>
        </w:rPr>
        <w:t>E. 2.6</w:t>
      </w:r>
    </w:p>
    <w:p>
      <w:r>
        <w:t>Indépendamment de ce qui précède, on ne voit pas quel intérêt digne de protection la recourante, qui ne se prévaut pas d'un retard à statuer sur le litige au fond, pouvait faire valoir pour obtenir une décision incidente dans un certain délai. Elle ne démontre pas que l'absence de décision sur le mandat de représentation de M</w:t>
      </w:r>
    </w:p>
    <w:p>
      <w:r>
        <w:t>e H.________ est à l'origine du laps de temps - certes très important mais à propos duquel la recourante ne formule aucune critique - qui s'est écoulé entre le dépôt de son action devant l'autorité précédente et le présent recours pour déni de justice. Elle n'invoque pas non plus de règles cantonales qui eussent imposé à l'autorité cantonale de statuer séparément sur l'incident soulevé dans un délai déterminé.</w:t>
      </w:r>
    </w:p>
    <w:p>
      <w:r>
        <w:rPr>
          <w:b/>
        </w:rPr>
        <w:t>E. 3</w:t>
      </w:r>
    </w:p>
    <w:p>
      <w:r>
        <w:t>Compte tenu de la situation prévalant avant l'événement qui a mis fin au litige, la recourante doit en principe supporter les frais inutiles qu'elle a causés ( art. 66 al. 1 LTF ) et n'a pas droit à des dépens ( art. 68 al. 1 LTF ).</w:t>
      </w:r>
    </w:p>
    <w:p>
      <w:r>
        <w:t>Etant donné ce qui précède, la requête d'octroi de l'assistance judiciaire est mal fondée, dans la mesure où elle tend également à la désignation d'un avocat d'office ( art. 64 al. 1 et 2 LTF ). Toutefois, il est exceptionnellement renoncé à la perception de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