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8C_866/2017 vom 17. April 2018</w:t>
      </w:r>
    </w:p>
    <w:p>
      <w:r>
        <w:t>Bundesgericht, 2018-04-17, DE</w:t>
      </w:r>
    </w:p>
    <w:p>
      <w:r>
        <w:rPr>
          <w:b/>
        </w:rPr>
        <w:t xml:space="preserve">Quelle: </w:t>
      </w:r>
      <w:r>
        <w:t>https://mcp.opencaselaw.ch/entscheid/bger_8C_866_2017</w:t>
      </w:r>
    </w:p>
    <w:p>
      <w:r>
        <w:t>FR: TF 8C_866/2017 du 17 avril 2018</w:t>
      </w:r>
    </w:p>
    <w:p>
      <w:r>
        <w:t>IT: TF 8C_866/2017 del 17 aprile 2018</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Der Beschwerdeführer legt nicht dar und es ist auch nicht ersichtlich, inwiefern ihm bezüglich der Rückweisung an die Verwaltung ein nicht wieder gutzumachender Nachteil droht. Demnach ist auf Beschwerde, soweit sie sich auf die Monate Oktober 2015 und Oktober 2016 bezieht, nicht einzutreten. Anzufügen bleibt, dass gemäss den Ausführungen des Beschwerdeführers die EAK den Anspruch auf Ausbildungszulagen für die Monate Oktober 2015 und Oktober 2016 mit Verfügungen vom 23. November 2017 anerkannt hatte.</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Streitig ist, ob die Vorinstanz zu Recht den Anspruch des Beschwerdeführers auf Ausbildungszulagen für seinen Sohn B.________ in der Zeit vom 1. November 2015 bis 30. September 2016 verneint hat.</w:t>
      </w:r>
    </w:p>
    <w:p>
      <w:r>
        <w:rPr>
          <w:b/>
        </w:rPr>
        <w:t>E. 4.1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FamZV statuiert, dass ein Anspruch auf eine Ausbildungszulage für jene Kinder besteht, die eine Ausbildung im Sinne des Art. 25 Abs. 5 AVHG absolvieren. Art. 25 Abs. 5 Satz 2 AHVG beauftragt den Bundesrat, den Begriff der Ausbildung zu regeln, was dieser mit den auf den 1. Januar 2011 in Kraft getretenen Art. 49bis und 49ter der AHVV (SR 831.101) getan hat. Dabei handelt es sich um unselbstständige Verordnungsnormen im Sinne von gesetzesvertretenden Bestimmungen, weshalb dem Bundesrat ein grosser Gestaltungsspielraum zukommt. Das Bundesgericht hat in BGE 138 V 286 E. 4.2.2 S. 289 festgehalten, dass bezüglich des Begriffs der Ausbildung auf die Gerichts- und Verwaltungspraxis sowie namentlich die Weisungen des BSV verwiesen werden kann ( BGE 142 V 442 E. 3.1 S. 443 mit Hinweisen).</w:t>
      </w:r>
    </w:p>
    <w:p>
      <w:r>
        <w:rPr>
          <w:b/>
        </w:rPr>
        <w:t>E. 4.2</w:t>
      </w:r>
    </w:p>
    <w:p>
      <w:r>
        <w:t>Gemäss BGE 139 V 122 wird ein Praktikum als Ausbildung im Sinne des Art. 49bis AHVV anerkannt, wenn es gesetzlich oder reglementarisch für die Zulassung zu einem Bildungsgang oder einer Prüfung vorausgesetzt wird, wenn es zum Erwerb eines Diploms oder eines Berufsabschlusses verlangt wird oder wenn vom Betrieb schriftlich zugesichert wird, dass das Kind bei Eignung nach Abschluss des Praktikums eine Lehrstelle im betreffenden Betrieb erhält und dieses höchstens ein Jahr dauert. Es reicht demnach, dass das Praktikum faktisch notwendig ist.</w:t>
      </w:r>
    </w:p>
    <w:p>
      <w:r>
        <w:rPr>
          <w:b/>
        </w:rPr>
        <w:t>E. 4.3</w:t>
      </w:r>
    </w:p>
    <w:p>
      <w:r>
        <w:t>Ein Kind befindet sich nicht in Ausbildung, wenn es ein durchschnittliches monatliches Erwerbseinkommen erzielt, das höher ist als die maximale volle Altersrente der AHV ( Art. 49bis Abs. 3 AHVV ). Diese Verordnungsnorm ist bundesrechtskonform ( BGE 142 V 226 [= Pra 2017 Nr. 57 S. 565]; vgl. für die Familienzulagen BGE 142 V 442 E. 3.2). Zur Bemessung des durchschnittlichen Einkommens werden die Monate, in welchen sich das Kind im Praktikum befunden hat, getrennt von den übrigen Zeiten betrachtet (Urteil 8C_800/2014 vom 11. Dezember 2014 E. 4.2).</w:t>
      </w:r>
    </w:p>
    <w:p>
      <w:r>
        <w:rPr>
          <w:b/>
        </w:rPr>
        <w:t>E. 5.1</w:t>
      </w:r>
    </w:p>
    <w:p>
      <w:r>
        <w:t>B.________ absolvierte vorgängig zu seiner Ausbildung an der Hotelfachschule vom 19. Oktober 2015 bis 19. Oktober 2016 ein Praktikum im Hotel C.________. Sein Arbeitsvertrag basierte auf dem Gesamtarbeitsvertrag im Schweizer Gastgewerbe 2010, Stand 2012 (GAV), und wies einen monatlichen Bruttolohn von Fr. 2'172.- aus. Gemäss Ziff. 12 GAV hatte er Anspruch auf einen 13. Monatslohn. Dies ergibt ein Jahreseinkommen von insgesamt Fr. 28'236.- resp. ein durchschnittliches monatliches Einkommen von Fr. 2'353.-.</w:t>
      </w:r>
    </w:p>
    <w:p>
      <w:r>
        <w:t>Die monatliche maximale volle Altersrente der AHV betrug in den Jahren 2015 und 2016 Fr. 2'350.-. Damit liegt das Einkommen von B.________ über dem zulässigen Betrag, so dass die Voraussetzungen für den Anspruch auf eine Ausbildungszulage nicht erfüllt sind.</w:t>
      </w:r>
    </w:p>
    <w:p>
      <w:r>
        <w:rPr>
          <w:b/>
        </w:rPr>
        <w:t>E. 5.2</w:t>
      </w:r>
    </w:p>
    <w:p>
      <w:r>
        <w:t>Was der Beschwerdeführer dagegen vorbringt, vermag zu keinem anderen Ergebnis zu führen.</w:t>
      </w:r>
    </w:p>
    <w:p>
      <w:r>
        <w:rPr>
          <w:b/>
        </w:rPr>
        <w:t>E. 5.2.1</w:t>
      </w:r>
    </w:p>
    <w:p>
      <w:r>
        <w:t>Soweit er sich auf den vom Sohn im Januar und Februar 2017 absolvierten Sprachkurs in Südamerika bezieht, ist darauf hinzuweisen, dass vorliegend nur Ausbildungszulagen in der Zeit vom 1. Oktober 2015 bis 31. Oktober 2016 von der angefochtenen Verfügung erfasst werden, so dass sich der Anfechtungsgegenstand auf Zulagen für diese Zeitspanne beschränkt ( BGE 125 V 413 E. 1a S. 414; zuletzt bestätigt mit in der Amtlichen Sammlung noch nicht publiziertem Urteil 8C_502/2017 vom 30. November 2017 E. 4.3).</w:t>
      </w:r>
    </w:p>
    <w:p>
      <w:r>
        <w:rPr>
          <w:b/>
        </w:rPr>
        <w:t>E. 5.2.2</w:t>
      </w:r>
    </w:p>
    <w:p>
      <w:r>
        <w:t>Der Beschwerdeführer rügt, die Vorinstanz habe keine dem Einzelfall angepasste Anwendung der gesetzlichen Bestimmungen vorgenommen, da die Grenze um Fr. 36.- resp. 0.127 % überschritten sei.</w:t>
      </w:r>
    </w:p>
    <w:p>
      <w:r>
        <w:t>Zwar ist es zutreffend, dass Verwaltungsweisungen für die Gerichte nicht verbindlich sind. Nach konstanter Rechtsprechung halten sich die Gerichte jedoch daran, soweit diese eine überzeugende Konkretisierung der gesetzlichen Vorgaben enthalten. So hat das Bundesgericht namentlich in Zusammenhang mit dem Anspruch auf Ausbildungszulagen die entsprechenden Weisungen des BSV zur Umsetzung der Vorgaben von Art. 49bis Abs. 3 AHVV als verbindlich anerkannt ( BGE 142 V 442 E. 6.1 S. 447). Ebenso hat es die Obergrenze in der Höhe der maximalen vollen Altersrente der AHV als bundesrechtskonform qualifiziert ( BGE 142 V 226 [= Pra 2017 Nr. 57 S. 565] und 142 V 442 E. 3.2 S. 443), so dass es nicht im Ermessen der EAK liegt, im Einzelfall davon abzuweichen. Dass vorliegend der massgebende Betrag nahe beim Grenzwert von Art. 49bis Abs. 3 AHVV liegt, vermag weder ein willkürliches noch sonstwie bundesrechtswidriges Ergebnis zu begründen, liegt es doch in der Natur von Grenzwerten, dass es in gewissen Konstellationen zu hart anmutenden Resultaten kommt. Es würde jedoch einer ungleichen Rechtsanwendung Vorschub geleistet, wenn es im Ermessen der Verwaltung liegen würde, im Einzelfall von bundesrechtlich vorgesehenen Grenzwerten (wie z.B. bei der Einhaltung von Fristen) abzuweichen.</w:t>
      </w:r>
    </w:p>
    <w:p>
      <w:r>
        <w:rPr>
          <w:b/>
        </w:rPr>
        <w:t>E. 5.2.3</w:t>
      </w:r>
    </w:p>
    <w:p>
      <w:r>
        <w:t>Weiter macht der Beschwerdeführer geltend, die Vorinstanz habe fälschlicherweise auf den Brutto- statt den Nettolohn abgestellt.</w:t>
      </w:r>
    </w:p>
    <w:p>
      <w:r>
        <w:t>Das Bundesgericht hat mit Urteil 8C_875/2013 vom 29. April 2014 E. 3.4 (publiziert in SVR 2014 IV Nr. 24 S. 84) erkannt, das im Rahmen von Art. 49bis Abs. 3 AHVV das tatsächlich erzielte Bruttoeinkommen massgebend ist; diesen Entscheid hat es mit BGE 142 V 442 E. 6.1 S. 447 bestätigt. Der Beschwerdeführer bringt nichts vor, das Anlass gäbe, diese Rechtsprechung zu überdenken. Vielmehr ist - wie das BSV in seiner Stellungnahme zutreffend vermerkt - der Bruttowert massgebend, da dieser im gesamten Bereich der AHV ausschlaggebend ist. Die Vorinstanz hat somit zu Recht den Bruttolohn berücksichtigt.</w:t>
      </w:r>
    </w:p>
    <w:p>
      <w:r>
        <w:rPr>
          <w:b/>
        </w:rPr>
        <w:t>E. 5.2.4</w:t>
      </w:r>
    </w:p>
    <w:p>
      <w:r>
        <w:t>Der Beschwerdeführer rügt, dass das Einkommen seines Sohnes weder für das Jahr 2015 noch für das Jahr 2016 den Grenzbetrag von Fr. 28'200.- überschritten habe.</w:t>
      </w:r>
    </w:p>
    <w:p>
      <w:r>
        <w:t>Entgegen der Ansicht des Beschwerdeführers werden bei unter dem Jahr begonnenen und beendeten Praktika diese nicht pro Kalenderjahr beurteilt. Das Bundesgericht hat bereits mit Urteil 8C_800/2014 vom 11. Dezember 2014 E. 4.2 entschieden, dass das durchschnittliche Einkommen für jene Monate, in welchen sich das Kind in einem Praktikum befunden hat, getrennt von den übrigen Zeiten zu betrachten sei (vgl. auch BGE 142 V 442 E. 5.4 S. 446). Daran ändert auch der Verweis des Beschwerdeführers auf BGE 142 V 226 E. 4.1 S. 229 (= Pra 2017 Nr. 57 S. 565) nichts. Denn einerseits wird in der genannten Erwägung lediglich die Ansicht der kantonalen Vorinstanz und nicht eine Feststellung des Bundesgerichts wiedergegeben; andererseits befindet sich der Sohn des Beschwerdeführers in einem beruflichen (Vor-) Praktikum und absolviert im hier zu beurteilenden Zeitraum nicht ein Studium, so dass das Urteil auch nicht einschlägig ist. Die monatsweise Betrachtungsweise der Vorinstanz ist demnach nicht zu beanstanden.</w:t>
      </w:r>
    </w:p>
    <w:p>
      <w:r>
        <w:rPr>
          <w:b/>
        </w:rPr>
        <w:t>E. 5.2.5</w:t>
      </w:r>
    </w:p>
    <w:p>
      <w:r>
        <w:t>Schliesslich macht der Beschwerdeführer geltend, die besonderen Umstände des Einzelfalls, namentlich sein Auslandeinsatz, würden mit dem angefochtenen Entscheid nicht berücksichtigt.</w:t>
      </w:r>
    </w:p>
    <w:p>
      <w:r>
        <w:t>Die erwähnten Umstände (ausländischer Arbeitsort, getrennter Wohnsitz von Eltern und Kind) können vorliegend nicht berücksichtigt werden, da es sich dabei um Punkte handelt, welche - mit Ausnahme der hier nicht massgebenden Art. 4 Abs. 3 FamZG in Verbindung mit Art. 7 f. FamZV - keinen Einfluss auf den Zulagenanspruch haben. Vielmehr geht es dabei (allenfalls) um Besonderheiten des Anstellungsverhältnisses zwischen dem Arbeitgeber und dem Arbeitnehmer, d.h. des hier nicht zur Diskussion stehenden öffentlichen Dienstrechts. Wie der Beschwerdeführer vorbringt, wird seiner speziellen Situation im Rahmen des auf ihn anwendbaren öffentlichen Dienstrechts (Verordnung des EDA zur Bundespersonalverordnung vom 20. September 2001; VBPV-EDA; SR 172.220.111.343.3) Rechnung getragen; dass die dort geregelten Vergütungen allenfalls vom Anspruch auf eine Zulage nach FamZG abhängig sind, kann nicht zu einem der Familienzulagenordnung widersprechenden Ergebnis führen.</w:t>
      </w:r>
    </w:p>
    <w:p>
      <w:r>
        <w:rPr>
          <w:b/>
        </w:rPr>
        <w:t>E. 5.3</w:t>
      </w:r>
    </w:p>
    <w:p>
      <w:r>
        <w:t>Zusammenfassend ergibt sich, dass die Vorinstanz den Anspruch auf Ausbildungszulagen für B.________ in der Zeit vom 1. November 2015 bis 30. September 2016 zu Recht verneint hat.</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