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8C_864/2017 vom 22. Februar 2018</w:t>
      </w:r>
    </w:p>
    <w:p>
      <w:r>
        <w:t>Bundesgericht, 2018-02-22, DE</w:t>
      </w:r>
    </w:p>
    <w:p>
      <w:r>
        <w:rPr>
          <w:b/>
        </w:rPr>
        <w:t xml:space="preserve">Quelle: </w:t>
      </w:r>
      <w:r>
        <w:t>https://mcp.opencaselaw.ch/entscheid/bger_8C_864_2017</w:t>
      </w:r>
    </w:p>
    <w:p>
      <w:r>
        <w:t>FR: TF 8C_864/2017 du 22 février 2018</w:t>
      </w:r>
    </w:p>
    <w:p>
      <w:r>
        <w:t>IT: TF 8C_864/2017 del 22 febbraio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betreffend den Anspruch auf medizinische Massnahmen bei Geburtsgebrechen ( Art. 3 Abs. 2 ATSG in Verbindung mit Art. 13 f. IVG; Art. 1 f. GgV; BGE 136 V 209 E. 7 S. 211 mit Hinweisen) richtig dargelegt. Gleiches gilt betreffend die Geltendmachung des Leistungsanspruchs und deren Folgen ( Art. 29 Abs. 1 ATSG ; Art. 65 IVV ; BGE 121 V 195 E. 2 S. 196; SVR 2013 UV Nr. 16 S. 61, 8C_888/2012 E. 3.4), die Nachzahlung von Leistungen ( Art. 48 Abs. 1 IVG ), das Prinzip der absoluten Priorität im Sinne der ausschliesslichen Leistungspflicht einer einzigen Sozialversicherung ( Art. 64 ATSG ; BGE 134 V 1 E. 6.1 S. 2) und die Vorleistungspflicht in Zweifelsfällen ( Art. 70 ATSG ). Darauf wird verwiesen.</w:t>
      </w:r>
    </w:p>
    <w:p>
      <w:r>
        <w:rPr>
          <w:b/>
        </w:rPr>
        <w:t>E. 3.1</w:t>
      </w:r>
    </w:p>
    <w:p>
      <w:r>
        <w:t>Strittig ist, ob das kantonale Gericht zu Recht eine Leistungspflicht der IV-Stelle für die Behandlung des Geburtsgebrechens Ziff. 384 der Versicherten bejaht hat. Im Einzelnen geht es um physiotherapeutische Behandlung vom 27. März bis 7. August 2012 sowie um ergotherapeutische Behandlung vom 3. bis 24. April 2012. In beiden Fällen war die SWICA im Rahmen ihrer Vorleistungspflicht für die Kosten aufgekommen.</w:t>
      </w:r>
    </w:p>
    <w:p>
      <w:r>
        <w:rPr>
          <w:b/>
        </w:rPr>
        <w:t>E. 3.2</w:t>
      </w:r>
    </w:p>
    <w:p>
      <w:r>
        <w:t>Das kantonale Gericht hat richtig erkannt, dass kein Anwendungsfall von Art. 70 ATSG vorliegt, da die SWICA im Zeitpunkt der Leistungserbringung keine Zweifel daran hatte, dass die IV-Stelle für das Geburtsgebrechen der Versicherten leistungspflichtig war (vgl. BGE 131 V 78 E. 2 S. 80).</w:t>
      </w:r>
    </w:p>
    <w:p>
      <w:r>
        <w:rPr>
          <w:b/>
        </w:rPr>
        <w:t>E. 3.3</w:t>
      </w:r>
    </w:p>
    <w:p>
      <w:r>
        <w:t>Das letztinstanzlich erneuerte Argument der IV-Stelle, das Kostenübernahmegesuch der SWICA vom 30. Juni 2014 sei mit Blick auf Art. 48 Abs. 1 IVG verspätet eingereicht worden, verfängt nicht, wie das kantonale Gericht zutreffend ausgeführt hat. Denn die IV-Stelle hat ihre Leistungspflicht gegenüber der Versicherten für das Geburtsgebrechen Ziff. 384 mit Verfügung vom 19. September 2001 in grundsätzlicher Hinsicht anerkannt und insbesondere mit Kostengutsprache vom 8. Juni 2011 für medizinische Massnahmen bis 31. Juli 2015 bekräftigt. Zwar stellt die Kostengutsprache kein verbindliches Leistungsversprechen dar (vgl. allgemein zur Kostengutsprache BGE 142 V 478 E. 4.2 S. 483 mit Hinweisen). Das schliesst aber nicht aus bzw. verlangt sogar - dem Wesen der Kostengutsprache gemäss -, dass die prioritär leistungspflichtige IV-Stelle (vgl. Art. 64 Abs. 2 lit. c und d ATSG ) die ihr von der SWICA vorgelegten Abrechnungen einer näheren Prüfung unterzieht und insbesondere klärt, ob die zugrunde liegenden Behandlungen davon erfasst werden und namentlich den Anforderungen gemäss Art. 2 Abs. 3 GgV entsprechen. Dass letzteres auf die im Streit liegenden Behandlungen nicht zuträfe, ist nach den insofern unbeanstandet gebliebenen vorinstanzlichen Feststellungen nicht der Fall. Wieso es unter diesen Umständen einer weiteren Anmeldung bei der IV-Stelle bedurft hätte, ist nicht einzusehen.</w:t>
      </w:r>
    </w:p>
    <w:p>
      <w:r>
        <w:t>Aus dem von ihr ins Feld geführten Urteil BGE 143 V 312 kann die IV-Stelle in der vorliegenden Konstellation nichts zu ihren Gunsten ableiten. Dort ging es um die Anwendung von Art. 48 Abs. 2 IVG auf die Krankenkasse und um die Frage, ob sich diese bei der Prüfung der Rechtzeitigkeit der Anmeldung das Wissen der versicherten Person um den anspruchsbegründenden Sachverhalt anrechnen lassen muss.</w:t>
      </w:r>
    </w:p>
    <w:p>
      <w:r>
        <w:rPr>
          <w:b/>
        </w:rPr>
        <w:t>E. 4</w:t>
      </w:r>
    </w:p>
    <w:p>
      <w:r>
        <w:t>Mit dem Entscheid in der Sache wird das Gesuch der IV-Stelle um aufschiebende Wirkung gegenstandslos.</w:t>
      </w:r>
    </w:p>
    <w:p>
      <w:r>
        <w:rPr>
          <w:b/>
        </w:rPr>
        <w:t>E. 5</w:t>
      </w:r>
    </w:p>
    <w:p>
      <w:r>
        <w:t>Die unterliegende IV-Stelle hat in diesem Verfahren im eigenen Vermögensinteresse gehandelt, weshalb sie die Gerichtskosten trägt ( Art. 66 Abs. 1 und Abs. 4 BGG ). Da sich zwei Versicherer gegenüberstehen, gilt für die Gerichtsgebühr der ordentliche Rahmen nach Art. 65 Abs. 3 BGG , während Art. 65 Abs. 4 lit. a BGG keine Anwendung findet (nicht. publ. E. 6.1 des Urteils BGE 134 V 153 ; Urteil 8C_236/2008 vom 14. Oktober 2008 E. 9.1). Als Organisation mit öffentlich-rechtlichen Aufgaben, welche in ihrem amtlichen Wirkungskreis handelt, hat die Beschwerdegegnerin keinen Anspruch auf Parteientschädigung ( Art. 68 Abs. 3 BGG ; Urteil 8C_236/2008 E.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