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8C_863/2017 vom 23. April 2018</w:t>
      </w:r>
    </w:p>
    <w:p>
      <w:r>
        <w:t>Bundesgericht, 2018-04-23, DE</w:t>
      </w:r>
    </w:p>
    <w:p>
      <w:r>
        <w:rPr>
          <w:b/>
        </w:rPr>
        <w:t xml:space="preserve">Quelle: </w:t>
      </w:r>
      <w:r>
        <w:t>https://mcp.opencaselaw.ch/entscheid/bger_8C_863_2017</w:t>
      </w:r>
    </w:p>
    <w:p>
      <w:r>
        <w:t>FR: TF 8C_863/2017 du 23 avril 2018</w:t>
      </w:r>
    </w:p>
    <w:p>
      <w:r>
        <w:t>IT: TF 8C_863/2017 del 23 aprile 2018</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w:t>
      </w:r>
    </w:p>
    <w:p>
      <w:r>
        <w:t>Das Versicherungsgericht hat mit Verfügung vom 9. November 2017 eine polydisziplinäre Begutachtung durch drei Fachärzte der PMEDA angeordnet und die Ausstands-/Ablehnungsbegehren des Versicherten gegen die vorgesehenen Gutachter abgewiesen. Dabei handelt es sich um einen das Verfahren nicht abschliessenden Zwischenentscheid.</w:t>
      </w:r>
    </w:p>
    <w:p>
      <w:r>
        <w:rPr>
          <w:b/>
        </w:rPr>
        <w:t>E. 2.1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BGE 140 V 282 E. 2 S. 283 mit Hinweisen).</w:t>
      </w:r>
    </w:p>
    <w:p>
      <w:r>
        <w:rPr>
          <w:b/>
        </w:rPr>
        <w:t>E. 2.2</w:t>
      </w:r>
    </w:p>
    <w:p>
      <w:r>
        <w:t>Gestützt auf Art. 92 BGG ist die Beschwerde möglich, wenn der angefochtene Zwischenentscheid den formellen Ausstand einer sachverständigen Person betrifft. Nicht auf einen personenbezogenen Ablehnungsgrund zielen Einwendungen gegen Gutachterpersonen, die sich nicht aus den konkreten Verhältnissen des Einzelfalls ergeben. Sie führen nicht zur bundesgerichtlichen Befassung mit einem Zwischenentscheid über die Gutachtensanordnung (vgl. BGE 138 V 271 E. 2.2.2 S. 277; Urteil 8C_106/2017 vom 12. April 2017 E. 1).</w:t>
      </w:r>
    </w:p>
    <w:p>
      <w:r>
        <w:rPr>
          <w:b/>
        </w:rPr>
        <w:t>E. 3</w:t>
      </w:r>
    </w:p>
    <w:p>
      <w:r>
        <w:t>Soweit der Beschwerdeführer vor Bundesgericht erneut den Anschein der Befangenheit des medizinischen und fachlichen Leiters der PMEDA, Prof. Dr. med. E.________, sowie die fehlende fachliche Qualifikation der eingesetzten Gutachter Dres. med. C.________ und D.________ rügt, beschränkt er sich im Wesentlichen auf eine Wiederholung der vorinstanzlich vorgetragenen Einwendungen und setzt sich mit den diesbezüglichen Erwägungen der angefochtenen Verfügung nicht substanziiert auseinander. Namentlich hat das Bundesgericht, worauf das kantonale Gericht zu Recht verweist, bereits mehrfach entschieden, der Umstand, dass Prof. Dr. med. E.________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(Urteile 8C_106/2017 vom 12. April 2017 E. 3.3.1, 9C_19/2017 vom 30. März 2017 E. 5.2 und 8C_548/2016 vom 4. Januar 2017 E. 4.2). Prof. Dr. med. E.________ ist vorliegend denn auch gar nicht als Gutachter eingesetzt worden. Gegen die mit der Begutachtung beauftragten Dres. med. C.________ und D.________ sodann wird erneut lediglich geltend gemacht, es handle sich um deutsche Ärzte, welche nicht in der Schweiz praktizierten und welchen als "fliegenden Gutachtern" die Normen des UVG sowie die schweizerische Rechtslage und Gerichtspraxis dazu nicht im erforderlichen Masse bekannt seien. Auch diesbezüglich hat das Bundesgericht bereits mehrfach entschieden, es handle sich dabei nicht um einen formellen Ausstandsgrund, sondern um materielle Einwendungen, welche gegebenenfalls zusammen mit dem Endentscheid zu prüfen seien (vgl. Urteile 8C_106/2017 vom 12. April 2017 E. 3.2 und 8C_216/2015 vom 12. Mai 2015). Werden zusammenfassend keine Ausstandsgründe angerufen, ist die Eintretensvoraussetzung gemäss Art. 92 BGG nicht erfüllt.</w:t>
      </w:r>
    </w:p>
    <w:p>
      <w:r>
        <w:rPr>
          <w:b/>
        </w:rPr>
        <w:t>E. 4</w:t>
      </w:r>
    </w:p>
    <w:p>
      <w:r>
        <w:t>Nicht gegeben sind sodann auch die Eintretensvoraussetzungen des Art. 93 Abs. 1 BGG :</w:t>
      </w:r>
    </w:p>
    <w:p>
      <w:r>
        <w:rPr>
          <w:b/>
        </w:rPr>
        <w:t>E. 4.1.1</w:t>
      </w:r>
    </w:p>
    <w:p>
      <w:r>
        <w:t>Ein Entscheid, mit dem eine zusätzliche Sachverhaltsabklärung angeordnet wird, bewirkt praxisgemäss in der Regel keinen nicht wieder gutzumachenden Nachteil im Sinne von Art. 93 Abs. 1 lit. a BGG ; er führt regelmässig lediglich zu einer (dieses Kriterium nicht erfüllenden) Verlängerung des Verfahrens. Dies gilt nach ständiger Rechtsprechung selbst dann,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 8C_321/2014 vom 19. September 2014, wo ebenfalls auf eine Beschwerde gegen die Anordnung eines Gerichtsgutachtens nicht eingetreten wurde, E. 4; Urteile 8C_503/2014 vom 25. Juli 2014 E. 2.2 und 8C_219/2014 vom 25. März 2014 E. 2.2, je mit Hinweisen).</w:t>
      </w:r>
    </w:p>
    <w:p>
      <w:r>
        <w:rPr>
          <w:b/>
        </w:rPr>
        <w:t>E. 4.1.2</w:t>
      </w:r>
    </w:p>
    <w:p>
      <w:r>
        <w:t>Der Beschwerdeführer macht bezüglich der Eintretensvoraussetzung des nicht wieder gutzumachenden Nachteils unter Berufung auf BGE 137 V 210 , 138 V 271 und 138 V 318 die Notwendigkeit der gerichtlichen Überprüfbarkeit der Einholung eines Gutachtens geltend. Dabei übersieht er, dass das gesteigerte Bedürfnis nach gerichtlichem Rechtsschutz gemäss Rechtsprechung bezüglich Anfechtbarkeit der Anordnung eines Administrativgutachtens bejaht wurde, weil dort die bei der Beweiseinholung durch ein Gericht vorgesehenen Garantien zugunsten der privaten Partei nicht zum Tragen kommen ( BGE 138 V 271 E. 1.2.2 S. 276; 137 V 210 E. 3.4.2.7 S. 256). Dieses gesteigerte Bedürfnis nach gerichtlicher Überprüfbarkeit zwecks Durchsetzung der Mitwirkungsrechte ist folglich zu verneinen, wenn ein Gericht selber ein Gutachten anordnet. Das gilt umso mehr, als bei einem Gericht - im Gegensatz zur Verwaltung - nicht einmal der Anschein des Interesses an einem bestimmten Ergebnis besteht. Soweit im Übrigen ein rechtlicher Nachteil insofern im Raum steht, als die gegen die Begutachtung und deren Modalitäten erhobenen materiellen Einwände zu Unrecht als unbegründet abgetan wurden, ist auf das in BGE 138 V 271 E. 3.2 S. 279 Erwogene zu verweisen: Diesfalls mag zwar weiterhin eine gewisse Beeinträchtigung in der beweisrechtlichen Rechtsverfolgungsposition bestehen, doch wird der allenfalls verbleibende Nachteil auch in der hier gegebenen Konstellation hinreichend ausgeglichen, da die betreffenden Rügen mit der Anfechtung des Endentscheids vor Bundesgericht immer noch erhoben werden können ( Art. 93 Abs. 3 BGG ).</w:t>
      </w:r>
    </w:p>
    <w:p>
      <w:r>
        <w:rPr>
          <w:b/>
        </w:rPr>
        <w:t>E. 4.1.3</w:t>
      </w:r>
    </w:p>
    <w:p>
      <w:r>
        <w:t>Namentlich ist auch mit Bezug auf die Rüge der fehlenden fachlichen Eignung der gerichtlich bestimmten Gutachter die Eintretensvoraussetzung des drohenden nicht wieder gutzumachenden Nachteils rechtsprechungsgemäss nicht erfüllt (vgl. Urteil 8C_509/2008 vom 4. Februar 2009 E. 5.3 mit Hinweisen). Gegen den kantonalen Entscheid über die Leistungspflicht der Beschwerdegegnerin wird dem Versicherten die Beschwerde in öffentlich-rechtlichen Angelegenheiten ans Bundesgericht offen stehen. Gemäss Art. 93 Abs. 3 BGG können dannzumal auch zuvor gefällte Zwischenentscheide mitangefochten werden, so dass der Beschwerdeführer - soweit erforderlich - die Rüge der fehlenden fachlichen Kompetenz im betreffenden Beschwerdeverfahren vortragen kann.</w:t>
      </w:r>
    </w:p>
    <w:p>
      <w:r>
        <w:rPr>
          <w:b/>
        </w:rPr>
        <w:t>E. 4.2</w:t>
      </w:r>
    </w:p>
    <w:p>
      <w:r>
        <w:t>Mit der Gutheissung der Beschwerde würde schliesslich auch kein nach der Rechtsprechung bedeutender Aufwand an Zeit oder Kosten für ein weitläufiges Beweisverfahren im Sinne von Art. 93 Abs. 1 lit. b BGG erspart. Auch insoweit stellt die selbstständige Anfechtbarkeit von Zwischenentscheiden aus prozessökonomischen Gründen eine Ausnahme dar, die restriktiv zu handhaben ist, zumal die Parteien keiner Rechte verlustig gehen, da sie die mit dem Zwischenentscheid zusammenhängenden Fragen mit dem Endentscheid anfechten können (dazu statt vieler Urteile 8C_364/2017 vom 8. Juni 2017, 8C_503/2014 vom 25. Juli 2014 E. 2.3 und 8C_219/2014 vom 25. März 2014 E. 2.3, je mit Hinweisen). Der Beschwerdeführer vermag keine Gründe zu nennen, die ausnahmsweise die selbstständige Anfechtbarkeit des Zwischenentscheids in diesem Punkt rechtfertigen könnten.</w:t>
      </w:r>
    </w:p>
    <w:p>
      <w:r>
        <w:rPr>
          <w:b/>
        </w:rPr>
        <w:t>E. 5</w:t>
      </w:r>
    </w:p>
    <w:p>
      <w:r>
        <w:t>Auf die unzulässige Beschwerde ist demzufolge nicht einzutreten.</w:t>
      </w:r>
    </w:p>
    <w:p>
      <w:r>
        <w:rPr>
          <w:b/>
        </w:rPr>
        <w:t>E. 6</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