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8C_860/2017 vom 13. Dezember 2017</w:t>
      </w:r>
    </w:p>
    <w:p>
      <w:r>
        <w:t>Bundesgericht, 2017-12-13, DE</w:t>
      </w:r>
    </w:p>
    <w:p>
      <w:r>
        <w:rPr>
          <w:b/>
        </w:rPr>
        <w:t xml:space="preserve">Quelle: </w:t>
      </w:r>
      <w:r>
        <w:t>https://mcp.opencaselaw.ch/entscheid/bger_8C_860_2017</w:t>
      </w:r>
    </w:p>
    <w:p>
      <w:r>
        <w:t>FR: TF 8C_860/2017 du 13 décembre 2017</w:t>
      </w:r>
    </w:p>
    <w:p>
      <w:r>
        <w:t>IT: TF 8C_860/2017 del 13 dicembre 2017</w:t>
      </w:r>
    </w:p>
    <w:p>
      <w:pPr>
        <w:pStyle w:val="Heading2"/>
      </w:pPr>
      <w:r>
        <w:t>Volltext</w:t>
      </w:r>
    </w:p>
    <w:p>
      <w:r>
        <w:t>Bundesgericht</w:t>
      </w:r>
    </w:p>
    <w:p>
      <w:r>
        <w:t>Tribunal fédéral</w:t>
      </w:r>
    </w:p>
    <w:p>
      <w:r>
        <w:t>Tribunale federale</w:t>
      </w:r>
    </w:p>
    <w:p>
      <w:r>
        <w:t>Tribunal federal</w:t>
      </w:r>
    </w:p>
    <w:p>
      <w:r>
        <w:t>8C_860/2017</w:t>
      </w:r>
    </w:p>
    <w:p>
      <w:r>
        <w:t>Urteil vom 13. Dezember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16. Oktober 2017 (IV.2016.00390).</w:t>
      </w:r>
    </w:p>
    <w:p>
      <w:r>
        <w:t>Nach Einsicht</w:t>
      </w:r>
    </w:p>
    <w:p>
      <w:r>
        <w:t>in die Beschwerde vom 5. Dezember 2017 (Poststempel) gegen den Entscheid des Sozialversicherungsgerichts des Kantons Zürich vom 16.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Beschwerdeführerin eine ungenügende Sachverhaltsabklärung und unzutreffende Würdigung der im Recht liegenden Arztberichte rügt,</w:t>
      </w:r>
    </w:p>
    <w:p>
      <w:r>
        <w:t>dass, soweit sie dabei letztinstanzlich neue Arztberichte anruft, dies gestützt auf Art. 99 Abs. 1 BGG unzulässig ist,</w:t>
      </w:r>
    </w:p>
    <w:p>
      <w:r>
        <w:t>dass sie sich weitgehend darauf beschränkt, bereits vor dem kantonalen Gericht Vorgetragenes zu wiederholen, ohne auf die dazu ergangenen Erwägungen konkret einzugehen, geschweige denn aufzuzeigen, inwiefern die vorinstanzliche Beweiswürdigung und Sachverhaltsfeststellung im Sinne von Art. 97 Abs. 1 BGG auf einer Rechtsverletzung beruhen oder qualifiziert falsch (d.h. offensichtlich unrichtig, sprich willkürlich: BGE 140 V 22 E. 7.3.1 S. 39; 135 II 145 E. 8.1 S. 153) und die darauf beruhenden Erwägungen konkret rechtsfehlerhaft (vgl. Art. 95 BGG ) sein sollen,</w:t>
      </w:r>
    </w:p>
    <w:p>
      <w:r>
        <w:t>dass dieser Begründungsmangel offensichtlich ist,</w:t>
      </w:r>
    </w:p>
    <w:p>
      <w:r>
        <w:t>dass deshalb auf die Beschwerde im vereinfachten Verfahren nach Art. 108 Abs. 1 lit. b BGG nicht einzutreten ist,</w:t>
      </w:r>
    </w:p>
    <w:p>
      <w:r>
        <w:t>dass indessen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