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8C_856/2010 vom 29. November 2010</w:t>
      </w:r>
    </w:p>
    <w:p>
      <w:r>
        <w:t>Bundesgericht, 2010-11-29, FR</w:t>
      </w:r>
    </w:p>
    <w:p>
      <w:r>
        <w:rPr>
          <w:b/>
        </w:rPr>
        <w:t xml:space="preserve">Quelle: </w:t>
      </w:r>
      <w:r>
        <w:t>https://mcp.opencaselaw.ch/entscheid/bger_8C_856_2010</w:t>
      </w:r>
    </w:p>
    <w:p>
      <w:r>
        <w:t>FR: TF 8C_856/2010 du 29 novembre 2010</w:t>
      </w:r>
    </w:p>
    <w:p>
      <w:r>
        <w:t>IT: TF 8C_856/2010 del 29 novembre 2010</w:t>
      </w:r>
    </w:p>
    <w:p>
      <w:pPr>
        <w:pStyle w:val="Heading2"/>
      </w:pPr>
      <w:r>
        <w:t>Erwägungen</w:t>
      </w:r>
    </w:p>
    <w:p>
      <w:r>
        <w:rPr>
          <w:b/>
        </w:rPr>
        <w:t>E. 1</w:t>
      </w:r>
    </w:p>
    <w:p>
      <w:r>
        <w:t>Le recours, formé au motif que la juridiction cantonale tardait à rendre une décision ( art. 94 LTF ) sur des prétentions en matière d'assurance-accidents, concerne une cause qui relève sur le fond du droit public, de sorte qu'il est en principe recevable. Il doit cependant être déclaré sans objet et rayé du rôle comme l'admet à juste titre le recourant. Ce dernier ne dispose plus, en effet, d'un intérêt juridiquement protégé à ce qu'il soit fixé un délai à l'autorité cantonale pour statuer puisqu'un jugement a été notifié postérieurement à l'ouverture de l'instance fédérale.</w:t>
      </w:r>
    </w:p>
    <w:p>
      <w:r>
        <w:rPr>
          <w:b/>
        </w:rPr>
        <w:t>E. 2.1</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2.3</w:t>
      </w:r>
    </w:p>
    <w:p>
      <w:r>
        <w:t>On ajoutera qu'en droit des 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 ATF 110 V 54 consid. 4b p. 61).</w:t>
      </w:r>
    </w:p>
    <w:p>
      <w:r>
        <w:rPr>
          <w:b/>
        </w:rPr>
        <w:t>E. 3</w:t>
      </w:r>
    </w:p>
    <w:p>
      <w:r>
        <w:t>En l'espèce, le recours contre la décision sur opposition de l'assureur-accidents a été interjeté devant l'autorité cantonale le 28 janvier 2009. L'échange d'écritures - il y en a eu deux - s'est achevé avec le dépôt de la duplique de la CNA en date du 2 juin 2009. Il n'y a pas eu d'autre mesure d'instruction. V.________ a adressé une lettre au tribunal cantonal pour s'informer de l'avancement de la procédure. Il a saisi le Tribunal fédéral d'un recours pour déni de justice le 12 octobre 2010, avant que la juridiction cantonale n'ait rendu son jugement le 18 octobre 2010.</w:t>
      </w:r>
    </w:p>
    <w:p>
      <w:r>
        <w:t>Sur le fond, le litige porte essentiellement sur le droit du recourant à une rente d'invalidité d'un montant supérieur en raison d'une aggravation de son état de santé, de nature psychique, dès le mois de janvier 2007. Il s'agit plus particulièrement d'examiner le lien de causalité naturelle et adéquate entre cette affection psychique et l'accident assuré.</w:t>
      </w:r>
    </w:p>
    <w:p>
      <w:r>
        <w:t>Compte tenu de ces éléments, un délai de 17 mois entre la fin de l'échange d'écritures et le dépôt du présent recours n'apparaît pas excessif, surtout si l'on considère que la juridiction a statué dans ce même laps de temps. A titre de comparaison, le Tribunal fédéral a admis, au vu des circonstances, un retard inadmissible à statuer dans un cas où il s'était écoulé 24 mois entre la fin de l'échange d'écritures et le prononcé du jugement cantonal, tout en relevant qu'un tel délai représentait une situation limite (arrêt 9C_831/2008 du 12 décembre 2008 consid. 2.2, in Plädoyer 3/2009 p. 62; voir également arrêt 8C_613/2009 du 22 février 2010). En revanche, dans deux autres affaires analogues à la présente cause (soit sans acte d'instruction médicale), le Tribunal fédéral a jugé qu'un intervalle d'un peu plus de 18 mois se situait dans les limites admissibles (voir les arrêts 9C_433/2009 du 19 août 2009 et 8C_615/2009 du 28 septembre 2009).</w:t>
      </w:r>
    </w:p>
    <w:p>
      <w:r>
        <w:t>Dans ces conditions, le recourant n'aurait pas été fondé à se plaindre d'un retard inadmissible à statuer.</w:t>
      </w:r>
    </w:p>
    <w:p>
      <w:r>
        <w:rPr>
          <w:b/>
        </w:rPr>
        <w:t>E. 4</w:t>
      </w:r>
    </w:p>
    <w:p>
      <w:r>
        <w:t>Il s'ensuit que le recourant n'a pas droit à des dépens ( art. 68 al. 1 LTF ). Le Tribunal fédéral ne percevra pas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