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8C_853/2012 vom 6. März 2013</w:t>
      </w:r>
    </w:p>
    <w:p>
      <w:r>
        <w:t>Bundesgericht, 2013-03-06, DE</w:t>
      </w:r>
    </w:p>
    <w:p>
      <w:r>
        <w:rPr>
          <w:b/>
        </w:rPr>
        <w:t xml:space="preserve">Quelle: </w:t>
      </w:r>
      <w:r>
        <w:t>https://mcp.opencaselaw.ch/entscheid/bger_8C_853_2012</w:t>
      </w:r>
    </w:p>
    <w:p>
      <w:r>
        <w:t>FR: TF 8C_853/2012 du 6 mars 2013</w:t>
      </w:r>
    </w:p>
    <w:p>
      <w:r>
        <w:t>IT: TF 8C_853/2012 del 6 marzo 2013</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(dazu E. 1.2) ist oder auf einer Rechtsverletzung im Sinne von Art. 95 BGG beruht, und wenn die Behebung des Mangels für den Ausgang des Verfahrens entscheidend sein kann (Art. 97 Abs. 1 in Verbindung mit Art. 105 Abs. 2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publiziert in BGE 137 V 446 ]).</w:t>
      </w:r>
    </w:p>
    <w:p>
      <w:r>
        <w:t>Die gesetzliche Kognitionsbeschränkung gilt namentlich für die Einschätzung der gesundheitlichen und leistungsmässigen Verhältnisse ( Art. 6 ATSG ), wie sie sich bei der revisionsweisen Anpassung einer Invalidenrente nach Art. 17 ATSG wegen Tatsachenänderungen (Gesundheitszustand, Arbeits- und Erwerbsunfähigkeit usw.) im revisionsrechtlich massgeblichen Vergleichszeitraum ( BGE 133 V 108 ; Urteil 9C_228/2010 vom 26. April 2011 E. 2.1) entwickelt haben.</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9C_734/2010 vom 21. Oktober 2010 E. 3; SVR 2012 BVG Nr. 11 S. 44, 9C_779/2010 E. 1.1.1 [nicht publiziert in: BGE 137 V 446 ]).</w:t>
      </w:r>
    </w:p>
    <w:p>
      <w:r>
        <w:rPr>
          <w:b/>
        </w:rPr>
        <w:t>E. 1.3</w:t>
      </w:r>
    </w:p>
    <w:p>
      <w:r>
        <w:t>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2.1</w:t>
      </w:r>
    </w:p>
    <w:p>
      <w:r>
        <w:t>Streitig ist die revisionsweise Aufhebung der Invalidenrente. Das kantonale Gericht hat die gesetzlichen Bestimmungen und die von der Rechtsprechung entwickelten Grundsätze, namentlich über die Begriffe der Invalidität ( Art. 8 Abs. 1 ATSG , Art. 4 Abs. 1 IVG ), Arbeitsunfähigkeit ( Art. 6 ATSG ) und Erwerbsfähigkeit ( Art. 7 Abs. 1 ATSG ), den Umfang des Rentenanspruchs ( Art. 28 Abs. 2 IVG ) sowie zum Beweiswert und zur Beweiswürdigung ärztlicher Berichte und Gutachten ( BGE 125 V 351 E. 3a S. 352 mit Hinweis) richtig dargelegt. Darauf wird verwiesen.</w:t>
      </w:r>
    </w:p>
    <w:p>
      <w:r>
        <w:rPr>
          <w:b/>
        </w:rPr>
        <w:t>E. 2.2</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w:t>
      </w:r>
    </w:p>
    <w:p>
      <w:r>
        <w:rPr>
          <w:b/>
        </w:rPr>
        <w:t>E. 3.1</w:t>
      </w:r>
    </w:p>
    <w:p>
      <w:r>
        <w:t>Die Vorinstanz hat die Voraussetzungen für eine Rentenrevision nach Art. 17 Abs. 1 ATSG (oben E. 2.1) bejaht. Sie erwog, im massgebenden Vergleichszeitraum zwischen der rentenzusprechenden Verfügung und der angefochtenen Verfügung vom 16. Dezember 2010 sei eine Verbesserung der gesundheitlichen Situation sowie der Arbeits- und Leistungsfähigkeit eingetreten. Nach dem Beweisgrad der überwiegenden Wahrscheinlichkeit sei erstellt, dass dem Beschwerdeführer trotz geringer Restbeschwerden (Angst und depressive Störung gemischt [ICD-10 F41.2]; Bericht Gutachten Dr. med. K.________ vom 11. Oktober 2009) die angestammte Tätigkeit mit einer 30 %igen Einschränkung zumutbar sei.</w:t>
      </w:r>
    </w:p>
    <w:p>
      <w:r>
        <w:rPr>
          <w:b/>
        </w:rPr>
        <w:t>E. 3.2</w:t>
      </w:r>
    </w:p>
    <w:p>
      <w:r>
        <w:t>Der Beschwerdeführer rügt sinngemäss die Verletzung des rechtlichen Gehörs, da die Vorinstanz auf seine Einwände bezüglich des Beweiswerts des Gutachtens vom 11. Oktober 2009 nicht eingegangen sei. Zu Unrecht habe die Vorinstanz einseitig auf dieses abgestellt und die Stellungnahme zum Gutachten des Medizinischen Zentrums G.________ (Dr. med F.________ und Dr. phil. I.________) vom 4. November 2010 nicht berücksichtigt.</w:t>
      </w:r>
    </w:p>
    <w:p>
      <w:r>
        <w:rPr>
          <w:b/>
        </w:rPr>
        <w:t>E. 3.3</w:t>
      </w:r>
    </w:p>
    <w:p>
      <w:r>
        <w:t>Diese Vorwürfe dringen nicht durch: Die Vorinstanz stützte sich nicht nur auf die Beurteilung des erwähnten Gutachters ab, sondern setzte sich auch mit allen relevanten medizinischen Akten auseinander und legte nachvollziehbar begründet dar, weshalb es den Einschätzungen des Dr. med. K.________ höheren Beweiswert zumass als den Ausführungen in der Stellungnahme des Medizinischen Zentrums G.________ vom 4. November 2010. Bei letzterem handelt es sich nicht um ein Gutachten. Die Unterzeichnenden Dr. med. F.________, Facharzt für Psychiatrie und Psychotherapie FMH und Dr. phil I.________, klinischer Psychologe und Supervisor, äussern sich gemäss Betreffzeile des Schreibens über den "Beweiswert des psychiatrischen Gutachtens Dr. med. K.________ vom 11. Oktober 2009" und negieren diesen sinngemäss. Sich über einen "Beweiswert" eines Gutachtens zu äussern obliegt den rechtsanwendenden Behörden, also der Verwaltung und den Gerichten. Der Stellungnahme des Medizinischen Zentrums G.________ fehlt denn auch eine eigene objektive Befunderhebung, so dass nicht nachvollzogen werden kann, wie die Genannten zur "richtigen Diagnose" finden. Diese ist mit keinem Wort begründet. Dem Aktenstück kann auch nicht entnommen werden, ob die Unterzeichnenden den Versicherten selbst gesehen und untersucht haben; eine entsprechende Angabe fehlt im Schreiben vom 4. November 2010.</w:t>
      </w:r>
    </w:p>
    <w:p>
      <w:r>
        <w:t>Zusammenfassend hat das kantonale Gericht die gegen die Verwertung des Gutachtens des Dr. med. K.________ vom 11. Oktober 2009 erhobenen Einwände hinreichend geprüft und zu Recht verworfen. Soweit sie nicht als appellatorische Kritik an der vorinstanzlichen Beweiswürdigung unbeachtlich sind, vormögen die Vorbringen keine Bundesrechtswidrigkeit darzutun. Dass der Gutachter die psychiatrisch-psychotherapeutische Behandlung als ungenügend rügt, ist angesichts der von der Therapeutin selbst angegebenen Kadenz von einer Sitzung pro Quartal nicht zu beanstanden. Diese seit April 2003 sporadische vorgenommene pharmakologisch sowie verhaltenstherapeutische Behandlung eines "unverändert desolaten Zustandes" (Bericht der Dr. med. E.________ vom 21. Dezember 2008) wirft tatsächlich Fragen über die Wahrnehmung einer hinreichenden Schadenminderung auf. Der blosse Umstand, dass die attestierte Arbeitsunfähigkeit (30 %) und die Diagnosen (Angst- und depressive Störung gemischt [ICD-10 F41.2]) von denjenigen der behandelnden Ärztin (100 % bei Panikstörung mit Agoraphobie [F40.01], mittelgradige depressive Episode [F32.1] und hypochondrische Störung [F45.2]) insbesondere hinsichtlich ihrer Ausprägung abweichen, begründen noch keine Zweifel an einer lege artis erstellten Expertise. Die Angaben der behandelnden Ärztin sind nicht begründet, weshalb sie auch nicht nachvollziehbar sind. Die beschwerdeführerische Kritik am Gutachten vermag die vorinstanzliche Sachverhaltsfeststellung nicht als offensichtlich unrichtig und damit rechtsverletzend zu qualifizieren.</w:t>
      </w:r>
    </w:p>
    <w:p>
      <w:r>
        <w:rPr>
          <w:b/>
        </w:rPr>
        <w:t>E. 4</w:t>
      </w:r>
    </w:p>
    <w:p>
      <w:r>
        <w:t>Die übrigen Aspekte der Ermittlung des Invaliditätsgrades und der revisionsweisen Rentenaufhebung werden in der Beschwerde nicht in Frage gestellt. Zu einer näheren Prüfung von Amtes wegen besteht kein Anlass. Die Beschwerde ist unbegründet. Die revisionsweise Rentenaufhebung erfolgte zu Recht.</w:t>
      </w:r>
    </w:p>
    <w:p>
      <w:r>
        <w:rPr>
          <w:b/>
        </w:rPr>
        <w:t>E. 5</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