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8C_852/2012 vom 23. April 2013</w:t>
      </w:r>
    </w:p>
    <w:p>
      <w:r>
        <w:t>Bundesgericht, 2013-04-23, DE</w:t>
      </w:r>
    </w:p>
    <w:p>
      <w:r>
        <w:rPr>
          <w:b/>
        </w:rPr>
        <w:t xml:space="preserve">Quelle: </w:t>
      </w:r>
      <w:r>
        <w:t>https://mcp.opencaselaw.ch/entscheid/bger_8C_852_2012</w:t>
      </w:r>
    </w:p>
    <w:p>
      <w:r>
        <w:t>FR: TF 8C_852/2012 du 23 avril 2013</w:t>
      </w:r>
    </w:p>
    <w:p>
      <w:r>
        <w:t>IT: TF 8C_852/2012 del 23 aprile 2013</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Streitig und zu prüfen ist, ob der Beschwerdeführer auch nach dem 31. Juli 2011 einen Anspruch auf eine Invalidenrente hat.</w:t>
      </w:r>
    </w:p>
    <w:p>
      <w:r>
        <w:rPr>
          <w:b/>
        </w:rPr>
        <w:t>E. 2.2</w:t>
      </w:r>
    </w:p>
    <w:p>
      <w:r>
        <w:t>Das kantonale Gericht hat die Rechtsgrundlagen über die Erwerbsunfähigkeit ( Art. 7 ATSG ), die Invalidität ( Art. 8 Abs. 1 ATSG ; Art. 4 Abs. 1 IVG ), den Einkommensvergleich ( Art. 16 ATSG ; Art. 28a Abs. 1 IVG ) und den Rentenanspruch ( Art. 28 Abs. 2 IVG ) zutreffend dargelegt. Darauf wird verwiesen.</w:t>
      </w:r>
    </w:p>
    <w:p>
      <w:r>
        <w:rPr>
          <w:b/>
        </w:rPr>
        <w:t>E. 2.3</w:t>
      </w:r>
    </w:p>
    <w:p>
      <w:r>
        <w:t>Beizufügen ist, dass bei rückwirkender Zusprechung einer abgestuften oder befristeten Rente die Revisionsbestimmungen ( Art. 17 Abs. 1 ATSG ) analog anwendbar sind. Der Zeitpunkt der Wirksamkeit der anspruchsbeeinflussenden Änderung richtet sich ausschliesslich nach Art. 88a Abs. 1 IVV ( BGE 109 V 125 ).</w:t>
      </w:r>
    </w:p>
    <w:p>
      <w:r>
        <w:rPr>
          <w:b/>
        </w:rPr>
        <w:t>E. 3.1</w:t>
      </w:r>
    </w:p>
    <w:p>
      <w:r>
        <w:t>Nach den vorinstanzlichen Erwägungen ist zur Beurteilung der Arbeitsfähigkeit auf den Bericht über die EFL der Klinik X.________ vom 22. Juli 2011 abzustellen. Danach war der Versicherte im angestammten Beruf als Servicetechniker bei der T.________ AG zu 60 % arbeitsfähig, was dem nach Eintritt der gesundheitlichen Beeinträchtigungen (Psoriasisarthritis mit belastungs-, positions- und bewegungsabhängigen Schmerzen in der Kreuzgegend und den Knien, den Handgelenken und den Fingern sowie den Schultern und den Ellbogen) ausgeübten Arbeitspensum entsprach; hiegegen war er für eine besser angepasste Tätigkeit, die ein Hantieren von schweren Lasten nicht erforderte und mit minimalem wiederholtem Krafteinsatz beider Arme ausgeübt werden könnte, ganztägig ohne Leistungseinschränkung einsetzbar. Ausgehend von diesen für das Bundesgericht verbindlichen Feststellungen hat die Vorinstanz weiter erwogen, der Versicherte schöpfe die ihm verbliebene Arbeitsfähigkeit nicht vollständig aus; daher sei das der Bestimmung des Invaliditätsgrades zugrunde zu legende Invalideneinkommen anhand der Schweizerischen Lohnstrukturerhebung (LSE) 2008 des Bundesamtes für Statistik festzulegen. Der Versicherte habe eine Berufslehre als Elektromechaniker abgeschlossen, weshalb der standardisierte Bruttolohn für das verarbeitende Gewerbe und die Industrie im Anforderungsniveau 3 (Berufs- und Fachkenntnisse vorausgesetzt) massgebend sei. Unter Berücksichtigung eines leidensbedingten Abzugs von 10 % ergebe sich ein Invalideneinkommen von Fr. 69'042.- und dem Validenlohn von Fr. 86'060.- (vgl. Verfügung vom 19. März 2012) gegenübergestellt ein den Anspruch auf Rente ausschliessender Invaliditätsgrad von 20 %.</w:t>
      </w:r>
    </w:p>
    <w:p>
      <w:r>
        <w:rPr>
          <w:b/>
        </w:rPr>
        <w:t>E. 3.2</w:t>
      </w:r>
    </w:p>
    <w:p>
      <w:r>
        <w:t>Der Beschwerdeführer macht geltend, er befinde sich in einem stabilen Arbeitsverhältnis bei der T.________ AG und er sei bereits über 55 Jahre alt, weshalb ihm ein Berufswechsel nicht mehr zumutbar und zur Festlegung des Invalideneinkommens der tatsächlich erzielte Lohn heranzuziehen sei. Diesem Vorbringen kann nicht gefolgt werden. Die Vorinstanz hat nachvollziehbar dargelegt, dass verschiedenartige Erwerbsmöglichkeiten für einen Elektromechaniker auf dem Arbeitsmarkt vorhanden sind, welche dem Anforderungsprofil an eine den gesundheitlichen Beeinträchtigungen angepasste Tätigkeit entsprächen. So kämen leichtere Tätigkeiten bis hin zu Büroarbeiten in Frage. Es ist nicht ersichtlich, inwiefern die Vorinstanz den Sachverhalt rechtsfehlerhaft festgestellt haben soll. Der Beschwerdeführer übersieht, dass die Klinik X.________ im Bericht vom 22. Juli 2011 angab, ihm sei mit wenigen Einschränkungen selbst die angestammte Tätigkeit als Servicemonteur ganztags zumutbar. Weiter hielt sie fest, dass die Arbeitgeberin auf einer Ausdehnung des Arbeitspensums beharrte, weshalb die geltend gemachte Stabilität des Arbeitsverhältnisses fraglich und die Notwendigkeit einer beruflichen Neuorientierung nicht auszuschliessen ist. Insgesamt ist daher nicht zu beanstanden, dass die Vorinstanz zur Bestimmung des Invalidenlohnes statistische Durschnittswerte beigezogen hat.</w:t>
      </w:r>
    </w:p>
    <w:p>
      <w:r>
        <w:rPr>
          <w:b/>
        </w:rPr>
        <w:t>E. 3.3</w:t>
      </w:r>
    </w:p>
    <w:p>
      <w:r>
        <w:t>Welches Anforderungsniveau des Arbeitsplatzes bei der Festsetzung des Invalideneinkommens anhand der LSE zu wählen ist, unterliegt als Rechtsfrage der freien Prüfung ( Art. 95 lit. a BGG ; SVR 2008 IV Nr. 4 S. 9, I 732/06 E. 4.2.2). Der angestammte Beruf als Servicetechniker entspricht fraglos dem Anforderungsniveau 3. Er umfasst die selbstständige Betreuung der Kunden im gesamten deutschsprachigen Raum (Schweiz, Deutschland, Österreich). Weiter verfügt der Beschwerdeführer über eine abgeschlossene Ausbildung zum Elektromechaniker und langjährige Berufserfahrung. Diese Umstände sprechen dafür, dass ihm auch unter Berücksichtigung der gesundheitlichen Beeinträchtigungen grundsätzlich ein genügend breites Feld von Erwerbsgelegenheiten im Bereich des Anforderungsniveaus 3 offensteht. Es ist anzunehmen, dass der Versicherte über ein Grundverständnis für technische Geräte und mechanische Abläufe verfügt sowie Kenntnisse im Lesen von Fertigungsunterlagen und technischen Zeichnungen hat. Seine Muttersprache ist zudem Deutsch, weshalb er in sprachlicher Hinsicht den Anforderungen auch für Büroarbeiten genügt. Den Einwänden in der Beschwerde, wonach in Betracht fallende Tätigkeiten auf dem allgemeinen Arbeitsmarkt eingeengt seien, hat die Vorinstanz mit der Kürzung des Tabellenlohnes gemäss BGE 126 V 75 um 10 % Rechnung getragen.</w:t>
      </w:r>
    </w:p>
    <w:p>
      <w:r>
        <w:rPr>
          <w:b/>
        </w:rPr>
        <w:t>E. 3.4</w:t>
      </w:r>
    </w:p>
    <w:p>
      <w:r>
        <w:t>Die Vorbringen des Beschwerdeführers zur Höhe des vorinstanzlich gewährten leidensbedingten Abzugs dringen nicht durch. Er übersieht, dass diese Frage eine typische Ermessensfrage darstellt, deren Beantwortung letztinstanzlicher Korrektur nur dort zugänglich ist, wo das kantonale Gericht das Ermessen rechtsfehlerhaft ausgeübt hat, also bei Ermessensüberschreitung, -missbrauch oder -unterschreitung (vgl. zu diesen Rechtsbegriffen BGE 137 V 71 E. 5.1 S. 73 mit Hinweisen; BGE 132 V 393 E. 3.3 S. 399).</w:t>
      </w:r>
    </w:p>
    <w:p>
      <w:r>
        <w:rPr>
          <w:b/>
        </w:rPr>
        <w:t>E. 3.5</w:t>
      </w:r>
    </w:p>
    <w:p>
      <w:r>
        <w:t>Aufgrund der im Juli 2011 wiedergewonnenen vollständigen Arbeitsfähigkeit für den gesundheitlichen Beeinträchtigungen angepasste Erwerbstätigkeiten hat die IV-Stelle, bestätigt durch die Vorinstanz, einen leistungsausschliessenden Invaliditätsgrad ermittelt und den davor gegebenen Anspruch auf eine ganze Invalidenrente auf den 31. Juli 2011 befristet. Entsprechend der dreimonatigen Frist von Art. 88a Abs. 1 IVV (E. 2.3 hievor) ist die Ausrichtung der Rentenbetreffnisse indessen auf den 31. Oktober 2011 einzustellen.</w:t>
      </w:r>
    </w:p>
    <w:p>
      <w:r>
        <w:rPr>
          <w:b/>
        </w:rPr>
        <w:t>E. 4</w:t>
      </w:r>
    </w:p>
    <w:p>
      <w:r>
        <w:t>Bei diesem Verfahrensausgang haben die Parteien die Gerichtskosten nach Massgabe ihres Unterliegens zu tragen ( Art. 66 Abs. 1 BGG ). Der Beschwerdeführer hat Anspruch auf eine reduzierte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