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8C_850/2018 vom 12. Juni 2019</w:t>
      </w:r>
    </w:p>
    <w:p>
      <w:r>
        <w:t>Bundesgericht, 2019-06-12, DE</w:t>
      </w:r>
    </w:p>
    <w:p>
      <w:r>
        <w:rPr>
          <w:b/>
        </w:rPr>
        <w:t xml:space="preserve">Quelle: </w:t>
      </w:r>
      <w:r>
        <w:t>https://mcp.opencaselaw.ch/entscheid/bger_8C_850_2018</w:t>
      </w:r>
    </w:p>
    <w:p>
      <w:r>
        <w:t>FR: TF 8C_850/2018 du 12 juin 2019</w:t>
      </w:r>
    </w:p>
    <w:p>
      <w:r>
        <w:t>IT: TF 8C_850/2018 del 12 giugno 2019</w:t>
      </w:r>
    </w:p>
    <w:p>
      <w:pPr>
        <w:pStyle w:val="Heading2"/>
      </w:pPr>
      <w:r>
        <w:t>Erwägungen</w:t>
      </w:r>
    </w:p>
    <w:p>
      <w:r>
        <w:rPr>
          <w:b/>
        </w:rPr>
        <w:t>E. 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angefochtenen Entscheids massgeblichen Erwägungen der Vorinstanz einzugehen und im Einzelnen zu zeigen, welche Vorschriften und weshalb sie von der Vorinstanz verletzt worden sind ( BGE 140 III 264 E. 2.3 S. 266; 134 V 53 E. 3.3 S. 60 und 133 IV 286 E. 1.4 S. 287).</w:t>
      </w:r>
    </w:p>
    <w:p>
      <w:r>
        <w:rPr>
          <w:b/>
        </w:rPr>
        <w:t>E. 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2.1</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w:t>
      </w:r>
    </w:p>
    <w:p>
      <w:r>
        <w:rPr>
          <w:b/>
        </w:rPr>
        <w:t>E. 3.1</w:t>
      </w:r>
    </w:p>
    <w:p>
      <w:r>
        <w:t>Das kantonale Gericht lässt die Frage offen, ob im öffentlichen Recht eine materielle Rechtskraft existiere. Es stehe der betroffenen Person jedenfalls frei, bei veränderten Verhältnissen jederzeit eine neue Überprüfung ihres Anspruchs auf Sozialhilfe zu verlangen. Im vorliegenden Fall seien vom Beschwerdeführer aber keine veränderten Verhältnisse geltend gemacht worden. Er habe sich dazu entschlossen, sein Leben "in Freiheit" selbst zu bestimmen, sei seit Jahren der Überzeugung, am geltenden System der "Geldschöpfung" nicht teilnehmen zu wollen und möchte keine bezahlte Arbeit leisten. Damit bestehe nach wie vor ein direkter Zusammenhang zwischen seiner offensichtlichen Verweigerungshaltung und seiner finanziellen Notlage. Weil er in keiner Weise bereit sei, diese Haltung aufzugeben, seien die Voraussetzungen für eine neue materiell-rechtliche Prüfung seines Anspruchs auf Sozialhilfe, bzw. Nothilfe gestützt auf Art. 12 BV , nicht gegeben. Die Gemeinde sei damit im Ergebnis zu Recht auf die Neuanmeldung zum Bezug von Sozialhilfeleistungen (inklusive Nothilfe gestützt auf Art. 12 BV ) nicht eingetreten.</w:t>
      </w:r>
    </w:p>
    <w:p>
      <w:r>
        <w:rPr>
          <w:b/>
        </w:rPr>
        <w:t>E. 3.2.1</w:t>
      </w:r>
    </w:p>
    <w:p>
      <w:r>
        <w:t>Der Beschwerdeführer zeigt im Verfahren vor Bundesgericht mit keinem Wort auf, inwiefern die Feststellung der Vorinstanz, wonach seit der Einstellung der Nothilfeleistungen per 1. Juli 2016 keine Veränderung der Verhältnisse eingetreten (und - daraus folgend - die Rechtmässigkeit des Nichteintretensentscheids der Gemeinde auf das erneute Leistungsgesuch zu bestätigen) sei, falsch sein sollte. Er betont im Gegenteil seine nach wie vor vorhandene Überzeugung, am geltenden "System der Geldschöpfung" nicht teilnehmen zu wollen. Auch künftig sei er nicht bereit, bezahlte Arbeit zu leisten. Seinen Antrag, es sei "auf sein Begehren vom 3. April 2018 einzutreten" und es sei ihm Sozialhilfe auszurichten, begründet er - abgesehen vom Hinweis darauf, dass er mittellos sei - nicht weiter. Hinsichtlich der von ihm anbegehrten Sozialhilfe erfüllt er daher weder die Begründungspflicht (vgl. E. 1 hiervor) noch die qualifizierte Rügepflicht (vgl. E. 2.1 hiervor). Er übersieht schliesslich, dass er im vorliegenden Verfahren keine direkte Leistungszusprache fordern kann, nachdem die Gemeinde auf sein erneutes Gesuch vom 19. März bzw. 3. April 2018 gar nicht eingetreten war. Soweit er folglich in seinem Hauptantrag die Ausrichtung von Sozialhilfe verlangt, erfüllt seine Beschwerde die Formerfordernisse nicht, sodass diesbezüglich auf das Rechtsmittel nicht eingetreten werden kann.</w:t>
      </w:r>
    </w:p>
    <w:p>
      <w:r>
        <w:rPr>
          <w:b/>
        </w:rPr>
        <w:t>E. 3.2.2</w:t>
      </w:r>
    </w:p>
    <w:p>
      <w:r>
        <w:t>Ob die formellen Beschwerdevoraussetzungen im Verfahren vor Bundesgericht hinsichtlich des beantragten Eintretens auf das Leistungsbegehren bezüglich eventualiter geforderter Nothilfe erfüllt sind, kann, wie sich nachfolgend zeigt, dahingestellt bleiben.</w:t>
      </w:r>
    </w:p>
    <w:p>
      <w:r>
        <w:rPr>
          <w:b/>
        </w:rPr>
        <w:t>E. 3.2.2.1</w:t>
      </w:r>
    </w:p>
    <w:p>
      <w:r>
        <w:t>Der Beschwerdeführer macht geltend, dass seine Notlage andauere. Daher habe er einen Anspruch darauf, dass auf sein Begehren (um Gewährung von Nothilfe) eingetreten werde. Das Bundesgericht habe in BGE 142 I 1 (in der Beschwerdeschrift zitiertes Urteil 8C_455/2015 vom 8. März 2016) festgestellt, dass gemäss Art. 36 Abs. 4 BV der Kerngehalt der Grundrechte unantastbar sei. Damit entfalle die Möglichkeit, die verfassungsrechtlich für ein menschenwürdiges Dasein erforderlichen Mittel über die Herleitung von Grundrechtsschranken zu kürzen oder zu verweigern. Im von Art. 12 BV garantierten Schutzbereich seien daher Eingriffe wegen dessen Kongruenz mit dem Kerngehalt des Grundrechts nicht zulässig. Es könne dem Beschwerdeführer also nicht erfolgreich vorgehalten werden, seine Verweigerung, eine bezahlte Arbeit zu suchen und anzunehmen, sei rechtsmissbräuchlich und verdiene keinen Rechtsschutz.</w:t>
      </w:r>
    </w:p>
    <w:p>
      <w:r>
        <w:rPr>
          <w:b/>
        </w:rPr>
        <w:t>E. 3.2.2.2</w:t>
      </w:r>
    </w:p>
    <w:p>
      <w:r>
        <w:t>Das Bundesgericht lässt im vom Beschwerdeführer zitierten BGE 142 I 1 ausdrücklich offen, ob ein rechtsmissbräuchliches Verhalten der ersuchenden Person allenfalls eine Kürzung oder Verweigerung der Nothilfe rechtfertigen könnte ( BGE 142 I 1 E. 7.2.5). Dies braucht auch vorliegend nicht beantwortet zu werden. Anspruch auf Hilfe und Betreuung und auf die Mittel, die für ein menschenwürdiges Dasein unerlässlich sind, hat nämlich gemäss Art. 12 BV nur, wer in Not gerät und nicht in der Lage ist, für sich zu sorgen. Der verfassungsmässige Nothilfeanspruch wird durch das ausdrücklich erwähnte Subsidiaritätsprinzip relativiert (LUCIEN MÜLLER, St. Galler Kommentar, Die schweizerische Bundesverfassung, 3. Aufl. 2014, N. 4 zu Art. 12 BV ). Eine in Not geratene Person hat demnach lediglich dann Anspruch auf staatliche Hilfe, wenn es ihr rechtlich verwehrt oder faktisch unmöglich ist, selber für sich zu sorgen. Keinen Anspruch hat, wer objektiv in der Lage wäre - etwa durch Annahme einer zumutbaren Arbeit - sich aus eigener Kraft die für das Überleben erforderlichen Mittel selber zu verschaffen. Bei diesen Personen fehlt es bereits an den Anspruchsvoraussetzungen, weshalb sich in solchen Fällen die Prüfung erübrigt, ob die Voraussetzungen für einen Eingriff ins Grundrecht erfüllt sind ( BGE 131 I 166 E. 4.1 S. 173 mit Hinweisen; RUDOLF URSPRUNG/DOROTHEA RIEDI HUNOLD, Einkommens- und Vermögensverzicht, insbesondere im Sozialrecht, in: Soziale Sicherheit - Soziale Unsicherheit, Festschrift für Erwin Murer zum 65. Geburtstag, 2010, S. 952 f.).</w:t>
      </w:r>
    </w:p>
    <w:p>
      <w:r>
        <w:t>Im vorliegenden Fall steht ausser Frage, dass der Beschwerdeführer in der Lage wäre, für sich selbst zu sorgen. Er nennt denn auch - abgesehen von seiner Geisteshaltung - keinerlei Gründe, die es ihm faktisch verunmöglichen würden, ein existenzsicherndes Einkommen zu generieren. In seinem Antrag auf Leistungen der Sozialen Dienste vom 3. April 2018 hatte er vielmehr angegeben, er sei (als gelernter Automechaniker) zu 100 % arbeitsfähig "in angepasster Tätigk." und im Übrigen nicht bei der Invalidenversicherung angemeldet. Der alleinige Umstand, dass er keine bezahlte Arbeit leisten will, beschreibt jedoch keinerlei Notlage im Sinne von Art. 12 BV . Damit war die Gemeinde auf entsprechende Neuanmeldung des Beschwerdeführers hin von vornherein nicht gehalten, einen Anspruch auf Nothilfe zu prüfen. Eine Auseinandersetzung mit der Frage, ob die Behörde auf ein Nothilfegesuch nach vorheriger Ablehnung eines Anspruchs auf Nothilfe auch dann einzutreten hat, wenn in der Zwischenzeit keine Veränderungen eingetreten sind, erübrigt sich bei dieser Ausgangslage.</w:t>
      </w:r>
    </w:p>
    <w:p>
      <w:r>
        <w:rPr>
          <w:b/>
        </w:rPr>
        <w:t>E. 4</w:t>
      </w:r>
    </w:p>
    <w:p>
      <w:r>
        <w:t>Die Beschwerde ist, soweit überhaupt darauf eingetreten werden kann, offensichtlich unbegründet.</w:t>
      </w:r>
    </w:p>
    <w:p>
      <w:r>
        <w:rPr>
          <w:b/>
        </w:rPr>
        <w:t>E. 5</w:t>
      </w:r>
    </w:p>
    <w:p>
      <w:r>
        <w:t>Das Verfahren ist kostenpflichtig. In Anwendung von Art. 66 Abs. 1 Satz 2 BGG ist ausnahmsweise auf die Erhebung von Gerichtskosten zu verzichten.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