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8C_84/2025 vom 24. Februar 2025</w:t>
      </w:r>
    </w:p>
    <w:p>
      <w:r>
        <w:t>Bundesgericht, 2025-02-24, DE</w:t>
      </w:r>
    </w:p>
    <w:p>
      <w:r>
        <w:rPr>
          <w:b/>
        </w:rPr>
        <w:t xml:space="preserve">Quelle: </w:t>
      </w:r>
      <w:r>
        <w:t>https://mcp.opencaselaw.ch/entscheid/bger_8C_84_2025</w:t>
      </w:r>
    </w:p>
    <w:p>
      <w:r>
        <w:t>FR: TF 8C_84/2025 du 24 février 2025</w:t>
      </w:r>
    </w:p>
    <w:p>
      <w:r>
        <w:t>IT: TF 8C_84/2025 del 24 febbraio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 Neue Tatsachen und Beweismittel dürfen nur soweit vorgebracht werden, als erst der Entscheid der Vorinstanz dazu Anlass gibt ( Art. 99 Abs. 1 BGG ), was in der Beschwerde näher darzulegen ist ( BGE 133 III 393 E. 3). Bei Tatsachen und Beweismitteln, welche die einlegende Partei bereits vor Vorinstanz hätte einbringen können und gestützt auf die ihr bei der Sachverhaltsermittlung obliegende, sich aus Treu und Glauben ( Art. 5 Abs. 3 BV ) ergebende Mitwirkungspflicht auch hätte ins Recht legen müssen, ist es nicht das vorinstanzliche Urteil, das erstmals Anlass zu einem derartigen Vorbringen gibt. Entsprechende Eingaben finden letztinstanzlich keine Berücksichtigung. Echte Noven, das heisst Tatsachen und Beweismittel, die erst nach dem angefochtenen Urteil entstanden sind, sind dagegen in jedem Fall unzulässig, da sie nicht durch den Entscheid der Vorinstanz veranlasst worden sind ( BGE 143 V 19 E. 1.2 mit Hinweisen).</w:t>
      </w:r>
    </w:p>
    <w:p>
      <w:r>
        <w:rPr>
          <w:b/>
        </w:rPr>
        <w:t>E. 2</w:t>
      </w:r>
    </w:p>
    <w:p>
      <w:r>
        <w:t>Das kantonale Gericht wies das von A.________ im Beschwerdeverfahren gegen den Einspracheentscheid des wira Luzern, Kantonale Amtsstelle (KAST) und Recht vom 3. Oktober 2024 betreffend ungenügende Arbeitsbemühungen gestellte Gesuch um unentgeltliche Rechtsverbeiständung mit Verfügung vom 16. Dezember 2024 ab. Dabei prüfte es, inwieweit bei der Bemessung des sogenannten prozessualen Notbedarfs die vom Beschwerdeführer geltend gemachten und entsprechend der vorgängig erfolgten Aufforderung auch belegten Auslagen zusätzlich zum um 20 % erweiterten Grundbetrag für Alleinstehende zu berücksichtigen sind. Den sich daraus ergebenden Betrag von Fr. 1'555.70 stellte es den monatlichen Einkünften von Fr. 2'065.15 gegenüber, woraus ein monatlicher Einkommensüberschuss von Fr. 509.45 resultierte, was zur Ablehnung des Gesuchs um unentgeltliche Rechtsverbeiständung mangels prozessualer Bedürftigkeit führte.</w:t>
      </w:r>
    </w:p>
    <w:p>
      <w:r>
        <w:rPr>
          <w:b/>
        </w:rPr>
        <w:t>E. 3</w:t>
      </w:r>
    </w:p>
    <w:p>
      <w:r>
        <w:t>Der Beschwerdeführer zeigt nicht auf, inwieweit die von der Vorinstanz getroffenen Sachverhaltsfeststellungen offensichtlich unrichtig (vgl. Art. 97 Abs. 1 BGG ) - mithin willkürlich ( BGE 146 IV 88 E. 1.3.1 f. und 140 III 115 E. 2; je mit Hinweisen) - oder sonstwie bundesrechtswidrig sein sollen. Ebenso wenig legt er dar, weshalb die darauf beruhenden Erwägungen gegen Bundesrecht verstossen oder einen anderen Beschwerdegrund (vgl. Art. 95 lit. a-e BGG ) gesetzt haben könnten. Die vom Beschwerdeführer erstmals vor Bundesgericht aufgerufenen Beweismittel betreffend Ausbildungs- und Zahnbehandlungskosten finden von Vornherein keine Berücksichtigung ( Art. 99 BGG , siehe oben). Überdies reicht es nicht aus, die für anrechenbar erachteten Kosten aufzulisten, ohne auf das von der Vorinstanz dazu Erwogene näher einzugehen.</w:t>
      </w:r>
    </w:p>
    <w:p>
      <w:r>
        <w:rPr>
          <w:b/>
        </w:rPr>
        <w:t>E. 4</w:t>
      </w:r>
    </w:p>
    <w:p>
      <w:r>
        <w:t>L iegt offensichtlich keine hinreichend sachbezogen begründete Beschwerde vor, so führt dies zu einem Nichteintreten im vereinfachten Verfahren nach Art. 108 Abs. 1 lit. b BGG .</w:t>
      </w:r>
    </w:p>
    <w:p>
      <w:r>
        <w:rPr>
          <w:b/>
        </w:rPr>
        <w:t>E. 5</w:t>
      </w:r>
    </w:p>
    <w:p>
      <w:r>
        <w:t>Das in der Beschwerde gestellte Gesuch um unentgeltliche Rechtspflege ist wegen aussichtsloser Beschwerdeführung abzuweisen ( Art. 64 Abs. 1 BGG ).</w:t>
      </w:r>
    </w:p>
    <w:p>
      <w:r>
        <w:rPr>
          <w:b/>
        </w:rPr>
        <w:t>E. 6</w:t>
      </w:r>
    </w:p>
    <w:p>
      <w:r>
        <w:t>Die Gerichtskosten sind ausgangsgemäss dem Beschwerdeführer zu überbinden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