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8C_84/2018 vom 1. Februar 2019</w:t>
      </w:r>
    </w:p>
    <w:p>
      <w:r>
        <w:t>Bundesgericht, 2019-02-01, FR</w:t>
      </w:r>
    </w:p>
    <w:p>
      <w:r>
        <w:rPr>
          <w:b/>
        </w:rPr>
        <w:t xml:space="preserve">Quelle: </w:t>
      </w:r>
      <w:r>
        <w:t>https://mcp.opencaselaw.ch/entscheid/bger_8C_84_2018</w:t>
      </w:r>
    </w:p>
    <w:p>
      <w:r>
        <w:t>FR: TF 8C_84/2018 du 1 février 2019</w:t>
      </w:r>
    </w:p>
    <w:p>
      <w:r>
        <w:t>IT: TF 8C_84/2018 del 1 febbraio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w:t>
      </w:r>
    </w:p>
    <w:p>
      <w:r>
        <w:rPr>
          <w:b/>
        </w:rPr>
        <w:t>E. 3</w:t>
      </w:r>
    </w:p>
    <w:p>
      <w:r>
        <w:t>Le litige a pour objet le droit à des prestations de l'assurance-invalidité du recourant, plus particulièrement ses taux d'incapacité de travail et de gain au-delà du 31 juillet 2008. Le jugement entrepris expose de manière complète les règles légales et les principes jurisprudentiels sur la notion d'invalidité et son évaluation. Il suffit d'y renvoyer.</w:t>
      </w:r>
    </w:p>
    <w:p>
      <w:r>
        <w:rPr>
          <w:b/>
        </w:rPr>
        <w:t>E. 4.1</w:t>
      </w:r>
    </w:p>
    <w:p>
      <w:r>
        <w:t>Le renvoi de la cause par le Tribunal fédéral à des fins d'expertise était notamment motivé par le fait que les médecins ayant examiné l'assuré avaient apprécié différemment l'incidence des douleurs sur la capacité de travail. Par ailleurs, les avis médicaux au dossier contenaient des divergences et n'étaient pas suffisamment étayés pour établir l'incapacité de travail de l'assuré résultant de l'accident. Ils ne se prononçaient pas sur les causes des douleurs et leur incidence sur la capacité de travail. Ils devaient également se déterminer sur le caractère primaire ou secondaire de l'alcoolisme.</w:t>
      </w:r>
    </w:p>
    <w:p>
      <w:r>
        <w:rPr>
          <w:b/>
        </w:rPr>
        <w:t>E. 4.2</w:t>
      </w:r>
    </w:p>
    <w:p>
      <w:r>
        <w:t>En substance, la cour cantonale a considéré que l'expertise judiciaire du CEMed remplissait les exigences jurisprudentielles en matière de valeur probante et répondait aux questions posées par l'arrêt fédéral pour évaluer le droit aux prestations de l'assuré ( art. 28 LAI ). Faisant siennes les conclusions des experts, elle a ainsi retenu qu'après avoir subi une période d'incapacité de travail complète dans sa profession, l'assuré avait retrouvé une capacité de travail entière dans une activité adaptée avec une diminution de rendement de 20 % à partir du mois de mai 2008. Ce changement dans la capacité de travail étant susceptible d'influencer le droit à la rente, la cour cantonale a déterminé les revenus avec et sans invalidité à l'aune des circonstances prévalant en 2008. Elle a fixé le revenu sans invalidité à 80'711 fr. 90 en se fondant sur les renseignements fournis par l'employeur. En ce qui concerne le revenu d'invalide, elle s'est référée aux données salariales statistiques ressortant de l'Enquête suisse sur la structure des salaires [ESS] valables en 2008, singulièrement au salaire obtenu par les hommes exerçant une activité simple et répétitive (niveau de qualification 4). Cela donnait, après adaptation de ce montant à la durée hebdomadaire de travail en 2008 et au taux d'activité exigible de 80 %, mais sans la prise en compte d'un abattement sur le salaire statistique, un revenu d'invalide de 47'983 fr. 10. Il en résultait un degré d'invalidité arrondi de 41 %, ce qui justifiait le passage de la rente entière au quart de rente dès le 1er août 2008 ( art. 88a RAI [RS 831.201]).</w:t>
      </w:r>
    </w:p>
    <w:p>
      <w:r>
        <w:rPr>
          <w:b/>
        </w:rPr>
        <w:t>E. 5.1</w:t>
      </w:r>
    </w:p>
    <w:p>
      <w:r>
        <w:t>Par un premier grief, le recourant reproche à la cour cantonale d'avoir suivi les conclusions de l'expertise du CEMed qu'il considère non convaincantes en ce qui concerne l'évaluation de sa capacité de travail résiduelle. Pour l'essentiel, il fait valoir que les experts ne tenaient pas compte de ses douleurs d'origine mécanique résultant des fractures, dont aucun médecin n'avait prétendu qu'elles étaient exagérées, et n'expliquaient pas comment il serait en mesure d'exercer une activité à plein temps malgré ces douleurs. D'ailleurs, le stage qu'il avait accompli auprès du COPAI démontrait que lorsqu'il était mis en situation de travail, il ne pouvait assumer un taux d'activité supérieur à 50 %. De même, le rapport de fin de stage à l'établissement G.________ précisait que si l'on prenait en considération sa gestion des douleurs et son humeur dépressive en sus de son atteinte purement physique, la reprise d'une activité à plein temps et à long terme paraissait comprise. L'appréciation des experts était ainsi en contradiction flagrante avec la situation médicale telle qu'elle avait été évaluée par la majorité des médecins et spécialistes de la réadaptation, si bien que les juges cantonaux, sauf à tomber dans l'arbitraire, auraient dû s'en écarter.</w:t>
      </w:r>
    </w:p>
    <w:p>
      <w:r>
        <w:rPr>
          <w:b/>
        </w:rPr>
        <w:t>E. 5.2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s. et les références).</w:t>
      </w:r>
    </w:p>
    <w:p>
      <w:r>
        <w:t>Lorsque, comme en l'espèce, l'autorité de recours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en particulier pas au Tribunal fédéral de vérifier si toutes les affirmations de l'expert sont exemptes d'arbitraire; sa tâche se limite bien plu-tôt à examiner si l'autorité pouvait, sans arbitraire, se rallier au résultat de l'expertise (arrêt 9C_803/2013 du 13 février 2014 consid. 3.1).</w:t>
      </w:r>
    </w:p>
    <w:p>
      <w:r>
        <w:rPr>
          <w:b/>
        </w:rPr>
        <w:t>E. 5.3</w:t>
      </w:r>
    </w:p>
    <w:p>
      <w:r>
        <w:t>En l'occurrence, comme on l'a dit (voir consid. 4.1 supra), la mise en oeuvre d'une expertise judiciaire avait justement pour but de départager les opinions divergentes en présence (entre les médecins traitants d'une part, et les docteurs F.________, du SMR, et C.________, de la CNA, d'autre part), en particulier sur la problématique douloureuse de l'assuré. Or à la lecture des considérations des experts du CEMed, en particulier de leur rapport complémentaire du 20 février 2017, on peut constater que ceux-ci étaient parfaitement conscients du contexte dans lequel s'inscrivait leur mission d'expertise. Questionnés plus particulièrement sur les raisons pour lesquelles ils n'avaient pas repris à leur compte les avis des médecins traitants et du résultat des stages d'observation, les experts ont indiqué qu'il ne s'agissait pas de nier l'anamnèse des douleurs, mais de la mettre en relation avec le status clinique orthopédique. Des fractures aux deux calcanéums étaient connues pour entraîner des limitations fonctionnelles et provoquer des douleurs. Dans le cas de l'assuré, une part des douleurs exprimées pouvait ainsi certainement être attribuée à une cause mécanique. En revanche, elle n'expliquait pas sa démarche, en particulier le flexum dynamique des genoux, qui semblait plutôt lié à des troubles de l'équilibre et à l'importante atrophie musculaire constatée aux membres inférieurs. Toujours selon les experts, le status orthopédique de l'assuré après fracture des deux calcanéums était objectivement compatible avec l'exercice d'une activité assise à partir d'une année après l'accident. Toutefois, en considération de la présence d'oedèmes citée dans plusieurs rapports, il était raisonnable de tenir compte globalement d'une diminution de rendement de 20 % pour bouger et surélever les membres inférieurs. En faisant la part entre les éléments subjectifs basés sur les douleurs exprimées et leurs constatations médicales objectives pour apprécier la capacité de travail résiduelle de l'assuré, les médecins du CEMed se sont tenus à leur rôle d'experts. Par ailleurs, leurs conclusions n'apparaissent ni contradictoires ni entachées de défauts manifestes. Si l'on suivait le raisonnement du recourant, il faudrait requérir systématiquement une surexpertise lorsque le résultat d'une expertise judiciaire s'écarterait des avis de médecins qui se sont exprimés avant l'expert, de sorte que le rôle de ce dernier serait vidé de tout son sens. En tant qu'il se contente d'opposer les avis antérieurs de ses médecins traitants et les rapports de stage à l'appréciation des experts judiciaires, le recourant ne démontre en tout cas pas que la cour cantonale aurait commis l'arbitraire en retenant le résultat de l'expertise.</w:t>
      </w:r>
    </w:p>
    <w:p>
      <w:r>
        <w:rPr>
          <w:b/>
        </w:rPr>
        <w:t>E. 6.1</w:t>
      </w:r>
    </w:p>
    <w:p>
      <w:r>
        <w:t>Par un deuxième moyen, le recourant s'en prend à la comparaison des revenus effectuée par la cour cantonale. Selon lui, elle doit s'effectuer en fonction de l'année de référence 2016. Il fait également grief à l'instance précédente de ne pas avoir réalisé d'abattement sur le salaire statistique en raison de son âge (56 ans en 2016) et de son handicap, qui lui occasionnait des douleurs importantes nécessitant des pauses fréquentes. Dans son cas, ces deux facteurs justifiaient d'opérer une déduction de 20 % au moins, ce qui porterait son taux d'invalidité à 70 %.</w:t>
      </w:r>
    </w:p>
    <w:p>
      <w:r>
        <w:rPr>
          <w:b/>
        </w:rPr>
        <w:t>E. 6.2</w:t>
      </w:r>
    </w:p>
    <w:p>
      <w:r>
        <w:t>Pour évaluer le degré d'invalidité, partant procéder à une comparaison des revenus,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(voir ATF 129 V 222 ; 128 V 174 ). Il convient par conséquent de procéder à une nouvelle comparaison des revenus chaque fois qu'il est admis qu'un changement important des circonstances propre à influencer le degré d'invalidité est survenu. En l'occurrence, la constatation de la cour cantonale, sur la base de l'expertise, d'une capacité de travail dans une activité adaptée à partir du mois de mai 2008 constitue un tel changement. C'est donc à juste titre qu'elle a effectué la comparaison des revenus déterminants en prenant pour référence l'année 2008.</w:t>
      </w:r>
    </w:p>
    <w:p>
      <w:r>
        <w:rPr>
          <w:b/>
        </w:rPr>
        <w:t>E. 6.3</w:t>
      </w:r>
    </w:p>
    <w:p>
      <w:r>
        <w:t>Le jugement cantonal peut également être confirmé en ce qui concerne l'absence de réduction sur le revenu statistique. En 2008, le recourant avait 48 ans, de sorte qu'il n'y a pas lieu d'effectuer un abattement à raison de l'âge. Quant à la nécessité de faire des pauses fréquentes, il s'agit d'une circonstance dont les experts judiciaires ont déjà tenu compte dans leur évaluation de la capacité de travail résiduelle de l'assuré, ce qui les a conduit à reconnaître une diminution de rendement de 20 %. Elle ne saurait par conséquent non plus justifier un abattement, ce qui reviendrait à prendre en considération le même facteur deux fois (voir les arrêts 8C_878/2014 du 27 janvier 2015 consid. 5.2.5 et 8C_498/2012 du 6 septembre 2012 consid. 3.1).</w:t>
      </w:r>
    </w:p>
    <w:p>
      <w:r>
        <w:rPr>
          <w:b/>
        </w:rPr>
        <w:t>E. 7</w:t>
      </w:r>
    </w:p>
    <w:p>
      <w:r>
        <w:t>Au vu de ce qui précède, le recours doit être rejeté.</w:t>
      </w:r>
    </w:p>
    <w:p>
      <w:r>
        <w:rPr>
          <w:b/>
        </w:rPr>
        <w:t>E. 8</w:t>
      </w:r>
    </w:p>
    <w:p>
      <w:r>
        <w:t>Une partie ne remplit les conditions de l'assistance judiciaire que si elle ne dispose pas de ressources suffisantes et si ses conclusions ne paraissent pas vouées à l'échec (cf. art. 64 al. 1 LTF ; ATF 140 V 521 consid. 9.1 p. 537).</w:t>
      </w:r>
    </w:p>
    <w:p>
      <w:r>
        <w:t>Compte tenu de la jurisprudence applicable (voir les consid. 5.2 et 6.2 supra) ainsi que des motifs avancés dans le mémoire de recours, la condition des chances de succès du recours n'est pas réalisée. Le recourant doit par conséquent supporter ses dépens et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