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8C_84/2016 vom 22. März 2016</w:t>
      </w:r>
    </w:p>
    <w:p>
      <w:r>
        <w:t>Bundesgericht, 2016-03-22, DE</w:t>
      </w:r>
    </w:p>
    <w:p>
      <w:r>
        <w:rPr>
          <w:b/>
        </w:rPr>
        <w:t xml:space="preserve">Quelle: </w:t>
      </w:r>
      <w:r>
        <w:t>https://mcp.opencaselaw.ch/entscheid/bger_8C_84_2016</w:t>
      </w:r>
    </w:p>
    <w:p>
      <w:r>
        <w:t>FR: TF 8C_84/2016 du 22 mars 2016</w:t>
      </w:r>
    </w:p>
    <w:p>
      <w:r>
        <w:t>IT: TF 8C_84/2016 del 22 marzo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3</w:t>
      </w:r>
    </w:p>
    <w:p>
      <w:r>
        <w:t>Das kantonale Gericht hat die für den Rentenanspruch massgeblichen Bestimmungen und Grundsätze zutreffend dargelegt. Es wird darauf verwiesen.</w:t>
      </w:r>
    </w:p>
    <w:p>
      <w:r>
        <w:rPr>
          <w:b/>
        </w:rPr>
        <w:t>E. 4</w:t>
      </w:r>
    </w:p>
    <w:p>
      <w:r>
        <w:t>Nach den vorinstanzlichen Feststellungen sei die Beschwerdeführerin zum Zeitpunkt der ursprünglichen Rentenzusprechung seit dem erlittenen Schleudertrauma aus neuropsychologischen Gründen in der Arbeitsfähigkeit zu 50 Prozent eingeschränkt gewesen. Gestützt auf das ABI-Gutachten sei seither eine rentenerhebliche Verbesserung eingetreten, denn die damals ausschlaggebenden leichten bis mittelschweren neuropsychologischen Ausfälle hätten nach den Untersuchungen der ABI-Ärzte mit verschiedenen Testverfahren nicht mehr bestätigt werden können. Es sei nur noch eine minime neuropsychologische Störung festgestellt worden und die Arbeitsfähigkeit sei dadurch nicht beeinträchtigt. Auch aus orthopädischer, neurologischer und psychiatrischer Sicht hätten sich keine Einschränkungen der Arbeitsfähigkeit bei Ausübung einer leichten bis mittelschweren Tätigkeit gefunden.</w:t>
      </w:r>
    </w:p>
    <w:p>
      <w:r>
        <w:rPr>
          <w:b/>
        </w:rPr>
        <w:t>E. 5</w:t>
      </w:r>
    </w:p>
    <w:p>
      <w:r>
        <w:t>Die Versicherte macht geltend, dass sie noch immer unter dem gleichen, nach der sogenannten Schleudertrauma-Praxis typischen "bunten" Beschwerdebild leide, welches zur Rentenzusprechung geführt habe. Die Rentenaufhebung sei daher unzulässig. Die ABI-Gutachter hätten insbesondere zu Unrecht ihre Nacken- und Kopfschmerzen ausser Acht gelassen.</w:t>
      </w:r>
    </w:p>
    <w:p>
      <w:r>
        <w:t>Dass nach den übereinstimmenden ärztlichen Einschätzungen weder bei der ursprünglichen Rentenzusprechung noch anlässlich der letzten Begutachtung organisch objektiv ausgewiesene Befunde festzustellen waren, ist nicht ausschlaggebend. Entscheidwesentlich ist vielmehr, dass bei der ursprünglichen Rentenzusprechung, wie von der Vorinstanz dargelegt, eine beträchtliche Einschränkung der Arbeitsfähigkeit bestand, bedingt vorab durch einen Dauerschmerz im Nacken und eine neuropsychologische Funktionsstörung. Die ABI-Gutachter bescheinigen jedoch, dass diesbezüglich in der Zwischenzeit eine erhebliche Verbesserung mit einer vollen Arbeitsfähigkeit in einer leidensangepassten Tätigkeit eingetreten ist. Dies gilt namentlich auch aus orthopädischer und neurologischer Sicht. Erst auf Nachfrage hin wurden in den Kopf ausstrahlende Nackenschmerzen erwähnt, die jedoch kaum noch auftreten würden. Gemäss den ärztlichen Verlaufsberichten seien die Beschwerden bereits seit langem deutlich zurückgegangen, wobei der genaue Zeitpunkt der Besserung im Nachhinein nicht festzustellen sei. Es liegen keine Stellungnahmen vor, die vom ABI-Gutachten abweichen würden. Damit sind keine konkreten Indizien ersichtlich, welche gegen die Zuverlässigkeit des ABI-Gutachtens sprechen würden ( BGE 137 V 210 E. 1.3.4 S. 227; 135 V 465 E. 4.4 S. 470; 125 V 351 E. 3b/bb S. 353). Die Einwände der Beschwerdeführerin vermögen die vorinstanzliche Beurteilung deshalb nicht als bundesrechtswidrig erscheinen zu lassen.</w:t>
      </w:r>
    </w:p>
    <w:p>
      <w:r>
        <w:rPr>
          <w:b/>
        </w:rPr>
        <w:t>E. 6</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