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8C_849/2013 vom 19. Mai 2014</w:t>
      </w:r>
    </w:p>
    <w:p>
      <w:r>
        <w:t>Bundesgericht, 2014-05-19, DE</w:t>
      </w:r>
    </w:p>
    <w:p>
      <w:r>
        <w:rPr>
          <w:b/>
        </w:rPr>
        <w:t xml:space="preserve">Quelle: </w:t>
      </w:r>
      <w:r>
        <w:t>https://mcp.opencaselaw.ch/entscheid/bger_8C_849_2013</w:t>
      </w:r>
    </w:p>
    <w:p>
      <w:r>
        <w:t>FR: TF 8C_849/2013 du 19 mai 2014</w:t>
      </w:r>
    </w:p>
    <w:p>
      <w:r>
        <w:t>IT: TF 8C_849/2013 del 19 maggio 2014</w:t>
      </w:r>
    </w:p>
    <w:p>
      <w:pPr>
        <w:pStyle w:val="Heading2"/>
      </w:pPr>
      <w:r>
        <w:t>Erwägungen</w:t>
      </w:r>
    </w:p>
    <w:p>
      <w:r>
        <w:rPr>
          <w:b/>
        </w:rPr>
        <w:t>E. 1</w:t>
      </w:r>
    </w:p>
    <w:p>
      <w:r>
        <w:t>Angefochten ist ein Endentscheid einer letzten kantonalen Instanz ( Art. 86 Abs. 1 lit. d, Art. 90 BGG ). Dieser bestätigt die Rechtmässigkeit einer ausgesprochenen Kündigung im Rahmen eines öffentlich-rechtlichen Anstellungsverhältnisses und betrifft somit eine öffentlich-rechtliche Angelegenheit im Sinn von Art. 82 lit. a BGG . Da mit dem Begehren um Weiterbestehen des Arbeitsverhältnisses Lohnforderungen und allenfalls weitere geldmässige Ansprüche in Zusammenhang stehen, liegt eine vermögensrechtliche Streitigkeit vor (Urteil 8C_826/2009 vom 1. Juli 2010 E. 1.1 mit Hinweis), weshalb der Ausschlussgrund von Art. 83 lit. g BGG nicht gegeben ist. Die Beschwerde ist auf dem Gebiet der öffentlich-rechtlichen Arbeitsverhältnisse unter anderem zulässig, wenn der Streitwert nicht weniger als Fr. 15'000.- beträgt ( Art. 85 Abs. 1 lit. b BGG ). Diese Streitwertgrenze ist im vorliegenden Verfahren offensichtlich erreicht; es ist jedoch daran zu erinnern, dass gemäss Art. 112 Abs. 1 lit. d BGG die Rechtsmittelbelehrung des vorinstanzlichen Entscheids die Angabe des Streitwertes zu enthalten hätte.</w:t>
      </w:r>
    </w:p>
    <w:p>
      <w:r>
        <w:rPr>
          <w:b/>
        </w:rPr>
        <w:t>E. 2</w:t>
      </w:r>
    </w:p>
    <w:p>
      <w:r>
        <w:t>Die Beschwerdegegnerin macht geltend, der Beschwerdeführer habe kein aktuelles und praktisches Rechtsschutzinteresse an der Frage, ob ein Schlichtungsverfahren durchzuführen gewesen wäre, da ein allfälliger Nachteil durch ein positives Urteil des Bundesgerichts in der Sache selber behoben wäre. Dieser Ansicht kann indessen nicht gefolgt werden, zumal ein Schlichtungsverfahren nicht von vornherein auf Gegenstände beschränkt ist, die mit Aussicht auf Erfolg gerichtlich eingeklagt werden können. Soweit ersichtlich, ist denn auch das Bundesgericht bisher nicht wegen fehlenden Rechtsschutzinteresses auf Begehren um Durchführung von Schlichtungsverfahren nicht eingetreten (vgl. auch BGE 138 III 366 E. 3.1 S. 368 ff. und 138 III 558). Falls vorliegend ein Schlichtungsverfahren bundesrechtswidrig ausgelassen wurde, so ist ein solches nachzuholen. Auf die Beschwerde ist demnach auch in diesem Punkt einzutreten.</w:t>
      </w:r>
    </w:p>
    <w:p>
      <w:r>
        <w:rPr>
          <w:b/>
        </w:rPr>
        <w:t>E. 3</w:t>
      </w:r>
    </w:p>
    <w:p>
      <w:r>
        <w:t>Die Beschwerde in öffentlich-rechtlichen Angelegenheiten kann wegen Rechtsverletzung gemäss Art. 95 und Art. 96 BGG erhoben werden. Der angefochtene Entscheid stützt sich in der Sache auf kantonales resp. kommunales Recht. Als Beschwerdegrund kommt im Wesentlichen die Verletzung von Bundesrecht, insbesondere von verfassungsmässigen Rechten in Frage ( Art. 95 BGG ). Die Anwendung des kantonalen resp. des kommunalen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8C_687/2010 vom 5. Januar 2011 E. 3.1 und 8C_690/2010 vom 1. November 2010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auch zum Folgenden).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 129 I 113 E. 2.1 S. 120; je mit Hinweisen).</w:t>
      </w:r>
    </w:p>
    <w:p>
      <w:r>
        <w:rPr>
          <w:b/>
        </w:rPr>
        <w:t>E. 4.1</w:t>
      </w:r>
    </w:p>
    <w:p>
      <w:r>
        <w:t>Das kantonale Gericht hat erwogen, gestützt auf Art. 20 der Personal- und Besoldungsverordnung der Kirchgemeinde B.________ vom 23. April 2007 (nachstehend: PersV) hätte der Beschwerdeführer grundsätzlich Anspruch auf einen nachträglichen Schlichtungsversuch gehabt. Die betreffenden Erwägungen werden zu Recht von keiner der Parteien als bundesrechtswidrig gerügt. Gemäss den weiteren vorinstanzlichen Erwägungen konnte indessen im konkreten Fall von einem Schlichtungsversuch abgesehen werden, da einerseits die Gegenpartei wenig vergleichsbereit erscheint und andererseits der Präsident des Kirchenrates als das durch die PersV vorgesehene Schlichtungsorgan befangen ist.</w:t>
      </w:r>
    </w:p>
    <w:p>
      <w:r>
        <w:rPr>
          <w:b/>
        </w:rPr>
        <w:t>E. 4.2</w:t>
      </w:r>
    </w:p>
    <w:p>
      <w:r>
        <w:t>Ein Schlichtungsverfahren dient unter anderem dazu, die Vergleichsbereitschaft der Parteien auszuloten. Es obliegt daher der Schlichtungsstelle, das Verfahren unter Umständen abzubrechen, wenn es sich erweist, dass bei einer Partei jede Vergleichsbereitschaft fehlt. Indem das kantonale Gericht einerseits den grundsätzlichen Anspruch des Beschwerdeführers auf ein nachträgliches Schlichtungsverfahren bejaht, andererseits aber von der Durchführung eines solchen mangels Vergleichsbereitschaft der Gegenpartei absieht, verhält es sich widersprüchlich: Die Vorinstanz setzt sich damit gleichsam selber als Ersatzschlichtungsbehörde ein und nimmt das Resultat des Schlichtungsverfahrens vorweg, ohne ein solches gehörig durchzuführen. Eine gesetzliche Grundlage für eine solche Vorgehensweise ist nicht ersichtlich und ergibt sich auch nicht aus dem kantonalen Entscheid. Wie der Beschwerdeführer zudem zutreffend geltend macht, würde damit sein Anspruch auf Durchführung des Verfahrens vom Willen der Gegenpartei abhängen. Eine entsprechende Auslegung von Art. 20 PersV widerspräche offensichtlich dem Wortlaut dieses Artikels und ist - da auch keine anderen Gründe für eine solche Auslegung sprechen - willkürlich und damit bundesrechtswidrig.</w:t>
      </w:r>
    </w:p>
    <w:p>
      <w:r>
        <w:rPr>
          <w:b/>
        </w:rPr>
        <w:t>E. 4.3</w:t>
      </w:r>
    </w:p>
    <w:p>
      <w:r>
        <w:t>Es steht fest und ist unbestritten, dass das in Art. 20 PersV vorgesehene Schlichtungsorgan, mithin der Präsident des Kirchenrates, in vorliegender Angelegenheit befangen und damit als Schlichter ungeeignet ist. Die PersV regelt nicht, wie im Falle des Ausstandes des Schlichtungsorganes vorzugehen ist. Allerdings ist es willkürlich, daraus zu folgern, der entsprechende Verfahrensschritt entfalle bei einer Befangenheit des Schlichtungsorganes. Vielmehr ist in analoger Anwendung von Art. 1 Abs. 2 ZGB die Verordnungslücke nach der Regel zu füllen, welche das Gericht als Verordnungsgeber aufstellen würde. Hätte der Verordnungsgeber bei Verordnungserlass die Möglichkeit einer Befangenheit des Präsidenten des Kirchenrates bedacht, so hätte er die Regel aufgestellt, wonach in diesen Fällen ad hoc eine unbefangene Schlichtungsperson einzusetzen ist. Da die Verordnung vom Kirchenrat der Kirchgemeinde B.________ erlassen worden ist, erscheint dieser Rat zur Bestimmung der Ersatzperson zuständig.</w:t>
      </w:r>
    </w:p>
    <w:p>
      <w:r>
        <w:rPr>
          <w:b/>
        </w:rPr>
        <w:t>E. 4.4</w:t>
      </w:r>
    </w:p>
    <w:p>
      <w:r>
        <w:t>Da der Kirchenrat bis jetzt noch keine Ersatzschlichtungsperson bestimmt hat und diese nicht zwingend dem Kirchenrat angehören muss, ist vorliegend entgegen dem Antrag des Beschwerdeführers nicht zu prüfen, ob wegen Befangenheit kein Mitglied dieses Rates als Ersatzperson in Frage kommt. Die Beschwerde ist demgemäss gutzuheissen und die Sache ist unter Aufhebung des kantonalen Gerichtsentscheides an den Kirchenrat der Kirchgemeinde B.________ zurückzuweisen, damit dieser eine Ersatzschlichtungsperson bestimmt. Soweit der Kirchenrat wegen Befangenheit auch für diese Amtshandlung nicht beschlussfähig sein sollte, wird in Anwendung von § 12 Abs. 4 des Synodalgesetzes vom 7. November 2007 über die römisch-katholischen Kirchgemeinden des Kantons Luzern die Synodalverwalterin oder der Synodalverwalter die Ersatzperson auszuwählen haben. Anzumerken bleibt, dass damit die eingesetzte Ersatzperson nicht zur Schlichtungsstelle der Synode oder des Synodalrates würde, sondern (Ersatz-) Schlichtungsorgan der Kirchgemeinde B.________ bliebe.</w:t>
      </w:r>
    </w:p>
    <w:p>
      <w:r>
        <w:rPr>
          <w:b/>
        </w:rPr>
        <w:t>E. 5</w:t>
      </w:r>
    </w:p>
    <w:p>
      <w:r>
        <w:t>Bei diesem Verfahrensausgang rechtfertigt es sich, die Gerichtskosten der Beschwerdegegnerin aufzuerlegen ( Art. 66 Abs. 1 BGG ). Diese hat dem Beschwerdeführer überdies für das bundesgerichtliche Verfahren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