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8C_845/2015 vom 8. Januar 2016</w:t>
      </w:r>
    </w:p>
    <w:p>
      <w:r>
        <w:t>Bundesgericht, 2016-01-08, DE</w:t>
      </w:r>
    </w:p>
    <w:p>
      <w:r>
        <w:rPr>
          <w:b/>
        </w:rPr>
        <w:t xml:space="preserve">Quelle: </w:t>
      </w:r>
      <w:r>
        <w:t>https://mcp.opencaselaw.ch/entscheid/bger_8C_845_2015</w:t>
      </w:r>
    </w:p>
    <w:p>
      <w:r>
        <w:t>FR: TF 8C_845/2015 du 8 janvier 2016</w:t>
      </w:r>
    </w:p>
    <w:p>
      <w:r>
        <w:t>IT: TF 8C_845/2015 del 8 gennaio 2016</w:t>
      </w:r>
    </w:p>
    <w:p>
      <w:pPr>
        <w:pStyle w:val="Heading2"/>
      </w:pPr>
      <w:r>
        <w:t>Erwägungen</w:t>
      </w:r>
    </w:p>
    <w:p>
      <w:r>
        <w:rPr>
          <w:b/>
        </w:rPr>
        <w:t>E. 1</w:t>
      </w:r>
    </w:p>
    <w:p>
      <w:r>
        <w:t>Der Beschwerdeführer hat innert gesetzlicher Frist ( Art. 100 Abs. 1 BGG ) die verwaltungsgerichtliche Klage vom 10. November 2015 beim kantonalen Verwaltungsgericht eingereicht. Das Verwaltungsgericht hat die Ausstandssache mit Entscheid vom 12. November 2015 entsprechend dem Eventualbegehren Ziffer 4 der beschwerdeführerischen Eingabe zuständigkeitshalber an das Bundesgericht weitergeleitet. Mit Eingabe vom 11. Dezember 2015 hat der Beschwerdeführer eine ergänzende Beschwerdeschrift eingereicht, nachdem er am 17. November 2015 sinngemäss darum ersucht hatte. Soweit diese Eingabe den kantonsgerichtlichen Entscheid vom 12. Oktober 2015 zum Gegenstand hat, ist sie unbeachtlich. Gesetzliche Beschwerdefristen können nicht erstreckt werden ( Art. 47 Abs. 1 BGG ), und es sind auch die Voraussetzungen für die Ansetzung einer Nachfrist ( Art. 42 Abs. 5 und 6 BGG ) oder zur Ergänzung der Beschwerdeschrift ( Art. 43 BGG ) nicht erfüllt.</w:t>
      </w:r>
    </w:p>
    <w:p>
      <w:r>
        <w:rPr>
          <w:b/>
        </w:rPr>
        <w:t>E. 2</w:t>
      </w:r>
    </w:p>
    <w:p>
      <w:r>
        <w:t>Soweit der Beschwerdeführer beantragt, es sei der verwaltungsgerichtliche Nichteintretensentscheid vom 12. November 2015 aufzuheben und die Sache an das Verwaltungsgericht des Kantons Schwyz zurückzuweisen, erweist sich die Beschwerde als unbegründet. Entgegen der beschwerdeführerischen Auffassung liegen keine Anhaltspunkte dafür vor, dass das Kantonsgericht nicht bereit wäre, über das hängige personalrechtliche Rechtsschutzverfahren gemäss § 27 PG zu befinden. Der Entscheid des Verwaltungsgerichts lässt sich daher, auch unter dem Blickwinkel des vom Beschwerdeführer angerufenen Art. 6 Ziff. 1 EMRK (fair trial), nicht beanstanden.</w:t>
      </w:r>
    </w:p>
    <w:p>
      <w:r>
        <w:rPr>
          <w:b/>
        </w:rPr>
        <w:t>E. 3.1</w:t>
      </w:r>
    </w:p>
    <w:p>
      <w:r>
        <w:t>Der Entscheid vom 12. Oktober 2015, mit welchem das Kantonsgericht das Ausstandsbegehren gegen den Kantonsgerichtspräsidenten abgewiesen hat, ist ein selbständig eröffneter Zwischenentscheid einer letzten kantonalen Instanz über den Ausstand ( Art. 86 Abs. 1 lit. d und Art. 92 Abs. 1 BGG ; zum Begriff vgl. BGE 135 III 566 E. 1.1 S. 568 f. mit Hinweisen).</w:t>
      </w:r>
    </w:p>
    <w:p>
      <w:r>
        <w:rPr>
          <w:b/>
        </w:rPr>
        <w:t>E. 3.2</w:t>
      </w:r>
    </w:p>
    <w:p>
      <w:r>
        <w:t>Der Beschwerdeführer ficht Dispositivziffer 1 des Entscheids des Kantonsgerichts, mit dem über das Ausstandsbegehren entschieden wurde, indessen gar nicht an. Er stellt weder einen entsprechenden Antrag, noch wird in der Rechtsmittelschrift vom 10. November 2015 begründet, inwiefern die vorinstanzliche Ablehnung des Ausstandsgesuchs als bundesrechtswidrig zu betrachten wäre. Das Bundesgericht hat den Anwendungsbereich von Art. 92 BGG auf diejenigen Fälle eingeschränkt, in denen vor Bundesgericht Fragen der Zuständigkeit oder des Ausstandes thematisiert werden ( BGE 138 III 94 E. 2.3 S. 95 f.; Urteil 4D_48/2014 vom 21. November 2014 E. 1.2). Andernfalls richtet sich die Anfechtbarkeit nach Art. 93 BGG .</w:t>
      </w:r>
    </w:p>
    <w:p>
      <w:r>
        <w:rPr>
          <w:b/>
        </w:rPr>
        <w:t>E. 3.3</w:t>
      </w:r>
    </w:p>
    <w:p>
      <w:r>
        <w:t>Gegen selbständig eröffnete Vor- oder Zwischenentscheide, die nicht von Art. 92 BGG erfasst werden, ist die Beschwerde nur zulässig, wenn dadurch sofort ein Endentscheid herbeigeführt und ein so bedeutender Aufwand an Zeit oder Kosten für ein weitläufiges Beweisverfahren erspart werden kann, dass die gesonderte Anrufung des Bundesgerichts gerechtfertigt erscheint ( Art. 93 Abs. 1 lit. b BGG ), was hier nicht in Betracht fällt, oder wenn der Zwischenentscheid einen nicht wieder gutzumachenden Nachteil bewirken kann ( Art. 93 Abs. 1 lit. a BGG ), wobei der mögliche Nachteil rechtlicher Natur sein muss, also auch durch einen für die beschwerdeführende Partei günstigen Endentscheid des Bundesgerichts nicht mehr behoben werden könnte. In der Beschwerde ist darzutun, weshalb ein Ausnahmefall vorliegt ( BGE 138 III 46 E. 1.2 S. 47).</w:t>
      </w:r>
    </w:p>
    <w:p>
      <w:r>
        <w:rPr>
          <w:b/>
        </w:rPr>
        <w:t>E. 3.4</w:t>
      </w:r>
    </w:p>
    <w:p>
      <w:r>
        <w:t>Werden einzig die Kostenfolgen für das Ausstandsverfahren beanstandet, bestimmt sich die Zulässigkeit der Beschwerde nicht nach Art. 92 BGG , sondern nach Art. 93 Abs. 1 lit. a BGG (Urteil 5D_75/2014 vom 29. Juli 2014 E. 5; vgl. auch BGE 138 III 94 E. 2.3 S. 95 f; 135 III 329 ). Vorausgesetzt ist, dass der Zwischenentscheid im Kostenpunkt einen nicht wieder gutzumachenden Nachteil bewirken kann. Dass dem Beschwerdeführer aufgrund der Kostenüberbindung des Zwischenentscheids ein nicht wieder gutzumachender Nachteil entstehen könnte, ist nicht ersichtlich. Etwas anderes legt der Beschwerdeführer auch nicht dar. Die gegen den Kantonsgerichtsentscheid gerichtete Beschwerde erweist sich daher als unzulässig.</w:t>
      </w:r>
    </w:p>
    <w:p>
      <w:r>
        <w:rPr>
          <w:b/>
        </w:rPr>
        <w:t>E. 4</w:t>
      </w:r>
    </w:p>
    <w:p>
      <w:r>
        <w:t>Der unterliegende Beschwerdeführer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