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8C_841/2018 vom 11. Dezember 2018</w:t>
      </w:r>
    </w:p>
    <w:p>
      <w:r>
        <w:t>Bundesgericht, 2018-12-11, DE</w:t>
      </w:r>
    </w:p>
    <w:p>
      <w:r>
        <w:rPr>
          <w:b/>
        </w:rPr>
        <w:t xml:space="preserve">Quelle: </w:t>
      </w:r>
      <w:r>
        <w:t>https://mcp.opencaselaw.ch/entscheid/bger_8C_841_2018</w:t>
      </w:r>
    </w:p>
    <w:p>
      <w:r>
        <w:t>FR: TF 8C_841/2018 du 11 décembre 2018</w:t>
      </w:r>
    </w:p>
    <w:p>
      <w:r>
        <w:t>IT: TF 8C_841/2018 del 11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8C_841/2018</w:t>
      </w:r>
    </w:p>
    <w:p>
      <w:r>
        <w:t>Urteil vom 11. Dezember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Bundesverwaltungsgerichts vom 2. Oktober 2018</w:t>
      </w:r>
    </w:p>
    <w:p>
      <w:r>
        <w:t>(C-3594/2018).</w:t>
      </w:r>
    </w:p>
    <w:p>
      <w:r>
        <w:t>Nach Einsicht</w:t>
      </w:r>
    </w:p>
    <w:p>
      <w:r>
        <w:t>in die Beschwerde vom 15. November 2018 (Poststempel) gegen den gemäss postamtlicher Bescheinigung am 15. Oktober 2018 dem Rechtsanwalt von A.________ ausgehändigten Nichteintretensentscheid des Bundesverwaltungsgerichts vom 2. Oktober 2018,</w:t>
      </w:r>
    </w:p>
    <w:p>
      <w:r>
        <w:t>in Erwägung,</w:t>
      </w:r>
    </w:p>
    <w:p>
      <w:r>
        <w:t>dass die Beschwerde nicht innert der nach Art. 100 Abs. 1 BGG 30-tägigen, gemäss Art. 44 - 48 BGG am 14. November 2018 abgelaufenen Rechtsmittelfrist eingereicht worden ist,</w:t>
      </w:r>
    </w:p>
    <w:p>
      <w:r>
        <w:t>dass darin überdies keine Auseinandersetzung mit den von der Vorinstanz im angefochtenen Entscheid dargelegten Gründen stattfindet, weshalb im vom Beschwerdeführer eingeleiteten Revisionsverfahren gegen den Entscheid C-5561/2015 des Bundesverwaltungsgerichts vom 7. Juli 2016 lediglich die Rechtzeitigkeit der Einreichung der damaligen Beschwerde zum Beweisthema hätte erhoben werden können,</w:t>
      </w:r>
    </w:p>
    <w:p>
      <w:r>
        <w:t>dass damit die Beschwerde nicht nur verspätet, sondern darüber hinaus ohne den Mindestanforderungen an eine sachbezogene Begründung gemäss Art. 42 Abs. 1 und 2 BGG zu genügen ( BGE 140 III 264 E. 2.3 S. 266; 134 V 53 E. 3.3 S. 60 und 133 IV 286 E. 1.4 S. 287) erhoben worden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dem Bundesamt für Sozialversicherungen und der Schweizerischen Unfallversicherungsanstalt (Suva) schriftlich mitgeteilt.</w:t>
      </w:r>
    </w:p>
    <w:p>
      <w:r>
        <w:t>Luzern, 11. Dezember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