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8C_836/2019 vom 23. Dezember 2019</w:t>
      </w:r>
    </w:p>
    <w:p>
      <w:r>
        <w:t>Bundesgericht, 2019-12-23, DE</w:t>
      </w:r>
    </w:p>
    <w:p>
      <w:r>
        <w:rPr>
          <w:b/>
        </w:rPr>
        <w:t xml:space="preserve">Quelle: </w:t>
      </w:r>
      <w:r>
        <w:t>https://mcp.opencaselaw.ch/entscheid/bger_8C_836_2019</w:t>
      </w:r>
    </w:p>
    <w:p>
      <w:r>
        <w:t>FR: TF 8C_836/2019 du 23 décembre 2019</w:t>
      </w:r>
    </w:p>
    <w:p>
      <w:r>
        <w:t>IT: TF 8C_836/2019 del 23 dicembre 2019</w:t>
      </w:r>
    </w:p>
    <w:p>
      <w:pPr>
        <w:pStyle w:val="Heading2"/>
      </w:pPr>
      <w:r>
        <w:t>Volltext</w:t>
      </w:r>
    </w:p>
    <w:p>
      <w:r>
        <w:t>Bundesgericht</w:t>
      </w:r>
    </w:p>
    <w:p>
      <w:r>
        <w:t>Tribunal fédéral</w:t>
      </w:r>
    </w:p>
    <w:p>
      <w:r>
        <w:t>Tribunale federale</w:t>
      </w:r>
    </w:p>
    <w:p>
      <w:r>
        <w:t>Tribunal federal</w:t>
      </w:r>
    </w:p>
    <w:p>
      <w:r>
        <w:t>8C_836/2019</w:t>
      </w:r>
    </w:p>
    <w:p>
      <w:r>
        <w:t>Urteil vom 23. Dezember 2019</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des Kantons St. Gallen, Brauerstrasse 54, 9016 St. Gallen,</w:t>
      </w:r>
    </w:p>
    <w:p>
      <w:r>
        <w:t>Beschwerdegegnerin.</w:t>
      </w:r>
    </w:p>
    <w:p>
      <w:r>
        <w:t>Gegenstand</w:t>
      </w:r>
    </w:p>
    <w:p>
      <w:r>
        <w:t>Invalidenversicherung (Prozessvoraussetzung),</w:t>
      </w:r>
    </w:p>
    <w:p>
      <w:r>
        <w:t>Beschwerde gegen den Entscheid des Versicherungsgerichts des Kantons St. Gallen vom 5. November 2019 (IV 2017/275).</w:t>
      </w:r>
    </w:p>
    <w:p>
      <w:r>
        <w:t>Nach Einsicht</w:t>
      </w:r>
    </w:p>
    <w:p>
      <w:r>
        <w:t>in die vom Versicherungsgericht des Kantons St. Gallen dem Bundesgericht zur Prüfung der Zuständigkeit weitergeleitete Eingabe der A.________ vom 2. Dezember 2019 (Poststempel), mit der sie ihre Unzufriedenheit mit dem kantonalen Gerichtsentscheid vom 5. November 2019 bekundet,</w:t>
      </w:r>
    </w:p>
    <w:p>
      <w:r>
        <w:t>in die Mitteilung des Bundesgerichts vom 6. Dezember 2019 an A.________, worin - für den Fall, dass bis spätestens 16. Dezember 2019 ein Beschwerdewille bezüglich des Entscheids des Versicherungsgerichts des Kantons St. Gallen vom 5. November 2019 bekundet werde - auf die gesetzlichen Formerfordernisse von Beschwerden hinsichtlich Begehren und Begründung sowie auf die nur innert der Rechtsmittelfrist noch bestehende Verbesserungsmöglichkeit hingewiesen worden ist,</w:t>
      </w:r>
    </w:p>
    <w:p>
      <w:r>
        <w:t>in das daraufhin von A.________ am 16. Dezember 2019eingereichte Schreiben,</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Beschwerdeführerin in ihrer Eingabe vom 2. Dezember 2019 ihre Krankengeschichte schildert, ohne auch nur mit einem Wort auf die Erwägungen des kantonalen Gerichts einzugehen,</w:t>
      </w:r>
    </w:p>
    <w:p>
      <w:r>
        <w:t>dass das nachgereichte Schreiben vom 16. Dezember 2019 dieselbe Beschwerdebegründung enthält, wie schon die Beschwerde im kantonalen Verfahren (vgl. BGE 134 II 244 ),</w:t>
      </w:r>
    </w:p>
    <w:p>
      <w:r>
        <w:t>dass die am 16. Dezember 2019 darüber hinaus vorgebrachten pauschalen Rügen, der vorinstanzliche Entscheid verletze Bundesrecht, weil die Sachverhaltsfeststellung auf einer Rechtsverletzung beruhe, und ausserdem sei der Untersuchungsgrundsatz verletzt, da Abklärungen unterblieben seien, daran nichts ändern, denn den Ausführungen kann nicht ansatzweise entnommen werden, inwiefern die vorinstanzliche Beweiswürdigung und Sachverhaltsfeststellung im Sinne von Art. 97 Abs. 1 BGG konkret auf einer Rechtsverletzung beruhen oder qualifiziert unzutreffend (unhaltbar, willkürlich: BGE 135 II 145 E. 8.1 S. 153; Urteil 9C_607/2012 vom 17. April 2013 E. 5.2) oder die darauf beruhenden Erwägungen rechtsfehlerhaft (vgl. Art. 95 BGG ) sein sollen,</w:t>
      </w:r>
    </w:p>
    <w:p>
      <w:r>
        <w:t>dass die Eingaben der Beschwerdeführerin daher den inhaltlichen Mindestanforderungen an eine Beschwerde offensichtlich nicht genügen,</w:t>
      </w:r>
    </w:p>
    <w:p>
      <w:r>
        <w:t>dass folglich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23. Dezember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