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8C_830/2019 vom 23. Dezember 2019</w:t>
      </w:r>
    </w:p>
    <w:p>
      <w:r>
        <w:t>Bundesgericht, 2019-12-23, DE</w:t>
      </w:r>
    </w:p>
    <w:p>
      <w:r>
        <w:rPr>
          <w:b/>
        </w:rPr>
        <w:t xml:space="preserve">Quelle: </w:t>
      </w:r>
      <w:r>
        <w:t>https://mcp.opencaselaw.ch/entscheid/bger_8C_830_2019</w:t>
      </w:r>
    </w:p>
    <w:p>
      <w:r>
        <w:t>FR: TF 8C_830/2019 du 23 décembre 2019</w:t>
      </w:r>
    </w:p>
    <w:p>
      <w:r>
        <w:t>IT: TF 8C_830/2019 del 23 dicembre 2019</w:t>
      </w:r>
    </w:p>
    <w:p>
      <w:pPr>
        <w:pStyle w:val="Heading2"/>
      </w:pPr>
      <w:r>
        <w:t>Volltext</w:t>
      </w:r>
    </w:p>
    <w:p>
      <w:r>
        <w:t>Bundesgericht</w:t>
      </w:r>
    </w:p>
    <w:p>
      <w:r>
        <w:t>Tribunal fédéral</w:t>
      </w:r>
    </w:p>
    <w:p>
      <w:r>
        <w:t>Tribunale federale</w:t>
      </w:r>
    </w:p>
    <w:p>
      <w:r>
        <w:t>Tribunal federal</w:t>
      </w:r>
    </w:p>
    <w:p>
      <w:r>
        <w:t>8C_830/2019</w:t>
      </w:r>
    </w:p>
    <w:p>
      <w:r>
        <w:t>Urteil vom 23. Dezember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w:t>
      </w:r>
    </w:p>
    <w:p>
      <w:r>
        <w:t>vom 31. Oktober 2019 (IV 2018/123, IV 2018/153).</w:t>
      </w:r>
    </w:p>
    <w:p>
      <w:r>
        <w:t>Nach Einsicht</w:t>
      </w:r>
    </w:p>
    <w:p>
      <w:r>
        <w:t>in die Beschwerde vom 12. Dezember 2019 gegen den Entscheid des Versicherungsgerichts des Kantons St. Gallen vom 31. Oktober 2019 und das darin gestellte Gesuch um Ansetzung einer Nachfrist zum Beizug einer anwaltlichen Vertretung und zur Beschwerdeergänzung,</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das kantonale Gericht zum Schluss gelangte, dem Beschwerdeführer könnten bei mangelnder Eingliederungsbereitschaft keine beruflichen Massnahmen gewährt werden,</w:t>
      </w:r>
    </w:p>
    <w:p>
      <w:r>
        <w:t>dass es im Wesentlichen gestützt auf das polydisziplinäre Gutachten der SMAB AG, Bern, vom 15. Mai 2017 bei einem Invaliditätsgrad von 37 % auch einen Anspruch auf eine Invalidenrente verneinte,</w:t>
      </w:r>
    </w:p>
    <w:p>
      <w:r>
        <w:t>dass die Beschwerde vom 12. Dezember 2019, die sich an der Grenze zur Weitschweifigkeit bewegt, den inhaltlichen Mindestanforderungen offensichtlich nicht genügt, da sie zwar einen Antrag enthält, den Ausführungen jedoch nicht ansatzweise entnommen werden kann, inwiefern die vorinstanzliche Beweiswürdigung und Sachverhaltsfeststellung im Sinne von Art. 97 Abs. 1 BGG konkret auf einer Rechtsverletzung beruhen oder qualifiziert unzutreffend (unhaltbar, willkürlich: BGE 135 II 145 E. 8.1 S. 153; Urteil 9C_607/2012 vom 17. April 2013 E. 5.2) oder die darauf beruhenden Erwägungen rechtsfehlerhaft (vgl. Art. 95 BGG ) sein sollen,</w:t>
      </w:r>
    </w:p>
    <w:p>
      <w:r>
        <w:t>dass die detailreiche Beschreibung der gesundheitlichen Entwicklung aus eigener Sicht und die Wiedergabe einer eigenen, von der Vorinstanz abweichenden Beweiswürdigung zur Begründung im bundesgerichtlichen Verfahren nicht ausreichen,</w:t>
      </w:r>
    </w:p>
    <w:p>
      <w:r>
        <w:t>dass die Begründungspflicht nach Art. 42 Abs. 2 BGG ebenso wenig mit den pauschal gehaltenen Behauptungen, die Vorinstanz habe eine Rechtsverletzung begangen, ihr Entscheid beruhe auf unvollständigen Abklärungen und sie habe den Anspruch auf rechtliches Gehör verletzt, erfüllt werden kann (vgl. dazu BGE 136 I 184 E. 2.2.1 S. 188, 229 E. 5.2 S. 236, je mit Hinweisen),</w:t>
      </w:r>
    </w:p>
    <w:p>
      <w:r>
        <w:t>dass die Beschwerde daher den inhaltlichen Mindestanforderungen an eine Beschwerde bei weitem nicht genügt,</w:t>
      </w:r>
    </w:p>
    <w:p>
      <w:r>
        <w:t>dass eine Erstreckung der Beschwerdefrist bzw. eine Nachfristansetzung zwecks Beizugs einer anwaltlichen Vertretung und Ergänzung der Beschwerdebegründung ausser Betracht fällt ( Art. 100 Abs. 1 BGG ),</w:t>
      </w:r>
    </w:p>
    <w:p>
      <w:r>
        <w:t>dass folglich im vereinfachten Verfahren nach Art. 108 Abs. 1 lit. b BGG - ohne Ansetzung einer Nachfrist (vgl. auch BGE 134 II 244 E. 2.4 S. 247) -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23. Dezember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