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8C_82/2013 vom 3. Dezember 2013</w:t>
      </w:r>
    </w:p>
    <w:p>
      <w:r>
        <w:t>Bundesgericht, 2013-12-03, FR</w:t>
      </w:r>
    </w:p>
    <w:p>
      <w:r>
        <w:rPr>
          <w:b/>
        </w:rPr>
        <w:t xml:space="preserve">Quelle: </w:t>
      </w:r>
      <w:r>
        <w:t>https://mcp.opencaselaw.ch/entscheid/bger_8C_82_2013</w:t>
      </w:r>
    </w:p>
    <w:p>
      <w:r>
        <w:t>FR: TF 8C_82/2013 du 3 décembre 2013</w:t>
      </w:r>
    </w:p>
    <w:p>
      <w:r>
        <w:t>IT: TF 8C_82/2013 del 3 dicembre 2013</w:t>
      </w:r>
    </w:p>
    <w:p>
      <w:pPr>
        <w:pStyle w:val="Heading2"/>
      </w:pPr>
      <w:r>
        <w:t>Erwägungen</w:t>
      </w:r>
    </w:p>
    <w:p>
      <w:r>
        <w:rPr>
          <w:b/>
        </w:rPr>
        <w:t>E. 1</w:t>
      </w:r>
    </w:p>
    <w:p>
      <w:r>
        <w:t>Le jugement entrepris a été rendu en matière de rapports de travail de droit public au sens de l' art. 83 let . g LTF. Dans la mesure où la contestation porte sur l'annulation d'une décision de résiliation des rap-ports de travail, elle est de nature pécuniaire, de sorte que le motif d'exclusion de l' art. 83 let . g LTF n'entre pas en considération (voir par exemple les arrêts 8C_902/2012 du 18 septembre 2013 consid. 1 et 8C_907/2010 du 8 juillet 2011 consid. 1.1). La valeur litigieuse, qui porte sur plusieurs mois de salaire, dépasse par ailleurs le seuil requis de 15'000 fr. (art. 51 al. 2 et 85 al. 1 let. b LTF). La voie du recours en matière de droit public selon les art. 82 ss LTF est donc ouverte pour contester la décision attaquée.</w:t>
      </w:r>
    </w:p>
    <w:p>
      <w:r>
        <w:rPr>
          <w:b/>
        </w:rPr>
        <w:t>E. 2</w:t>
      </w:r>
    </w:p>
    <w:p>
      <w:r>
        <w:t>Pour le surplus, interjeté en temps utile ( art. 100 al. 1 LTF ) contre une décision finale ( art. 90 LTF ) prise en dernière instance cantonale ( art. 86 al. 1 let . d LTF), le recours en matière de droit public est recevable.</w:t>
      </w:r>
    </w:p>
    <w:p>
      <w:r>
        <w:rPr>
          <w:b/>
        </w:rPr>
        <w:t>E. 3.1</w:t>
      </w:r>
    </w:p>
    <w:p>
      <w:r>
        <w:t>Le recourant se plaint d'une constatation manifestement inexacte des faits. Il reproche aux premiers juges d'avoir retenu, contrairement à ses dires, qu'il avait été informé par téléphone qu'une bagarre avait éclaté entre deux détenus. Il avait toujours affirmé, quant à lui, que le centraliste avait fait état d'une "engueulade", d'une "chamaillerie" ou, tout au plus, d'une "altercation" ou encore d'un "incident" entre deux détenus. Selon lui, il est même douteux qu'il y ait eu véritablement bagarre ce jour-là.</w:t>
      </w:r>
    </w:p>
    <w:p>
      <w:r>
        <w:rPr>
          <w:b/>
        </w:rPr>
        <w:t>E. 3.2</w:t>
      </w:r>
    </w:p>
    <w:p>
      <w:r>
        <w:t>La partie recourante qui veut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137 II 353 consid. 5.1 p. 356; 136 I 184 consid. 1.2 p. 187). Si la partie recourante se plaint d'une constatation manifestement inexacte des faits ( art. 97 al. 1 LTF ), ce qui revient à se plaindre d'une forme d'arbitraire, elle doit motiver son grief conformément aux exigences strictes de l' art. 106 al. 2 LTF ( ATF 137 I 58 consid. 4.1.2 p. 62).</w:t>
      </w:r>
    </w:p>
    <w:p>
      <w:r>
        <w:rPr>
          <w:b/>
        </w:rPr>
        <w:t>E. 3.3</w:t>
      </w:r>
    </w:p>
    <w:p>
      <w:r>
        <w:t>La critique du recourant ne répond pas à ces exigences. Elle met en avant certains faits (heure à laquelle le recourant a quitté l'établissement; lors de l'appel, le surveillant centraliste n'avait pas connaissance de l'ensemble des faits; absence d'enregistrement des appels sortant de l'établissement, etc.), sans démontrer précisément en quoi ils permettraient de nier l'existence même d'une bagarre (en dépit des déclarations concordantes des agents de détention) et le fait qu'il en a été informé de manière précise. Sur ce dernier point la juridiction cantonale pouvait, comme elle l'a fait, accorder foi aux déclarations de J.________ entendu à deux reprises et dont les déclarations - contrairement à celles du recourant - n'ont pas varié. Il n'est donc pas possible, sur la base de l'argumentation présentée, de constater que la cour cantonale aurait apprécié arbitrairement les preuves (sur cette notion: cf. ATF 136 III 552 consid. 4.2 p. 560) ou qu'elle aurait établi un état de fait insoutenable.</w:t>
      </w:r>
    </w:p>
    <w:p>
      <w:r>
        <w:rPr>
          <w:b/>
        </w:rPr>
        <w:t>E. 4</w:t>
      </w:r>
    </w:p>
    <w:p>
      <w:r>
        <w:t>Le recours peut être formé pour violation du droit suisse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expressément cités par ces dispositions, le recours ne peut pas être formé pour violation du droit cantonal en tant que tel. En revanche, il est toujours possible de faire valoir que la mauvaise application du droit cantonal constitue une violation du droit fédéral - en particulier qu'elle est arbitraire au sens de l' art. 9 Cst. ou contraire à d'autres droits constitutionnels ( ATF 138 V 67 consid. 2.2 p. 69; 134 II 349 consid. 3 p. 351 et la jurisprudence citée). A cet égard, le Tribunal fédéral n'examinera le moyen tiré de la violation d'une norme de rang constitutionnel que si le grief a été invoqué et motivé de manière précise ( art. 106 al. 2 LTF ).</w:t>
      </w:r>
    </w:p>
    <w:p>
      <w:r>
        <w:rPr>
          <w:b/>
        </w:rPr>
        <w:t>E. 5.1</w:t>
      </w:r>
    </w:p>
    <w:p>
      <w:r>
        <w:t>Le Conseil d'État et la Cour de droit public fondent le licenciement du recourant sur l'art. 45 LSt qui, sous le chapitre "Cessation des rapports de service" et le titre marginal "Renvoi pour justes motifs ou raisons graves" prévoit que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(al. 1). Sous réserve d'un licenciement avec effet immédiat, l'autorité de nomination prononce le renvoi du titulaire de fonction publique et lui notifie la décision moyennant un préavis de trois mois pour la fin d'un mois (art. 48 LSt.). L'art. 46 LSt prévoit cependant que,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w:t>
      </w:r>
    </w:p>
    <w:p>
      <w:r>
        <w:rPr>
          <w:b/>
        </w:rPr>
        <w:t>E. 5.2</w:t>
      </w:r>
    </w:p>
    <w:p>
      <w:r>
        <w:t>Les justes motifs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(voir par exemple l'arrêt 8C_780/2012 du 11 février 2013 consid. 5.2.1 et les références citées).</w:t>
      </w:r>
    </w:p>
    <w:p>
      <w:r>
        <w:rPr>
          <w:b/>
        </w:rPr>
        <w:t>E. 5.3.1</w:t>
      </w:r>
    </w:p>
    <w:p>
      <w:r>
        <w:t>Le recourant se plaint d'une violation arbitraire des art. 45 ss LSt et d'un abus du pouvoir d'appréciation par les juges précédents. Il soutient qu'il ne pouvait pas être renvoyé sans que soit mise en oeuvre la procédure d'avertissement préalable au sens de l'art. 46 LSt.</w:t>
      </w:r>
    </w:p>
    <w:p>
      <w:r>
        <w:rPr>
          <w:b/>
        </w:rPr>
        <w:t>E. 5.3.2</w:t>
      </w:r>
    </w:p>
    <w:p>
      <w:r>
        <w:t>Le concept du service de piquet de X.________ prévoit un piquet cellulaire constitué du surveillant-chef et de surveillants-chefs adjoints. Le piquet cellulaire est appelé par le surveillant de service en dehors des heures de bureau a) en cas de situations particulières; b) pour des questions concernant les détenus, notamment des questions médicales; c) en cas de pannes d'installations importantes. Le piquet cellulaire doit obligatoirement avertir le piquet de direction dans un certain nombre de cas énumérés dans le concept, notamment en cas de "bagarres" (ch. 4) ou encore, par exemple, en cas d'intervention du médecin de garde/SMUR (ch. 10). La juridiction cantonale retient à ce propos que lorsqu'il a été informé du fait qu'une bagarre avait éclaté entre deux détenus dans un secteur de l'établissement, le recourant s'est contenté d'informations données spontanément par le centraliste, à savoir que tout était rentré dans l'ordre. Il n'a pas demandé des précisions sur le déroulement des événements.</w:t>
      </w:r>
    </w:p>
    <w:p>
      <w:r>
        <w:rPr>
          <w:b/>
        </w:rPr>
        <w:t>E. 5.3.3</w:t>
      </w:r>
    </w:p>
    <w:p>
      <w:r>
        <w:t>Il est évident qu'une telle attitude passive ne correspond pas aux règles du concept qui imposaient au recourant de demander des explications et d'avertir le piquet de direction. Il n'est guère contestable que la légèreté avec laquelle il a traité l'information aurait pu conduire le lendemain à une situation potentiellement dangereuse et dégénérer à nouveau en violence. Compte tenu de l'avertissement (toutefois sans caractère disciplinaire) donné au recourant pour des faits semblables quelques mois auparavant, il n'était pas insoutenable d'admettre que la répétition d'un tel comportement était constitutif d'un motif de renvoi au sens de l'art. 45 Lst. Comme le Tribunal fédéral a déjà eu l'occasion de le constater, le non respect d'une consigne, qui serait de peu de gravité dans un autre contexte professionnel, prend une toute autre dimension dans un établissement pénitentiaire, dès lors qu'il peut avoir des conséquences sur la sécurité des détenus ou du personnel de détention (cf. arrêt 8C_780/2012 du 11 février 2013 consid. 5.2.3).</w:t>
      </w:r>
    </w:p>
    <w:p>
      <w:r>
        <w:rPr>
          <w:b/>
        </w:rPr>
        <w:t>E. 5.4.1</w:t>
      </w:r>
    </w:p>
    <w:p>
      <w:r>
        <w:t>Se référant à la jurisprudence cantonale et fédérale rendue à propos de l'art. 46 LSt, les premiers juges ont considéré que la procédure de l'avertissement préalable n'est pas indispensable lorsque le seul intérêt du service motive le renvoi (cf. arrêts 2P.116/2006 du 16 août 2006 et 1P.774/1999 du 14 février 2000) ou lorsque, compte tenu de la fonction en cause, de la nature des faits reprochés au titulaire et de la personnalité de celui-ci, on ne peut vraisemblablement pas s'attendre à ce que le comportement incriminé ou les prestations insuffisantes s'améliorent, de manière à assurer durablement la bonne marche du service (Recueil de jurisprudence neuchâteloise [RJN] 1997 p. 218; cf. également arrêt 8C_369/2012 du 22 août 2012 consid. 4.3). Les premiers juges ont considéré à ce propos que le recourant, qui avait soutenu dans son recours du 13 juillet 2012 (dirigé contre la mesure de suspension dont il était l'objet) qu'il jouissait d'une certaine marge de manoeuvre s'agissant de l'obligation d'avertir le piquet de direction, en dépit des directives impératives figurant dans le concept, avait démontré qu'il n'avait toujours pas compris le sens de sa mission. Toujours selon la juridiction cantonale, le Conseil d'État pouvait donc sérieusement douter de son aptitude à assumer la charge d'agent de détention. Dans de telles conditions, un avertissement formel au sens de l'art. 46 LSt n'était pas nécessaire.</w:t>
      </w:r>
    </w:p>
    <w:p>
      <w:r>
        <w:rPr>
          <w:b/>
        </w:rPr>
        <w:t>E. 5.4.2</w:t>
      </w:r>
    </w:p>
    <w:p>
      <w:r>
        <w:t>Le recourant ne discute pas cette jurisprudence. Il prétend qu'il n'a jamais contesté son devoir d'informer le piquet de direction si une bagarre éclatait au sein de l'établissement. S'il a parlé d'une marge de manoeuvre, c'est uniquement en présence d'un incident ne relevant pas des cas mentionnés dans la directive des services de piquet (dans l'écriture en question, le recourant affirmait qu'on lui avait été indiqué par téléphone qu'il s'était agi d'une simple "peccadille"). Il n'en reste pas moins que, loin de reconnaître la gravité des faits, le recourant a toujours tenté - à tort au vu des témoignages recueillis - de minimiser la portée de l'information qu'il avait reçue. Il ne paraît pas avoir apprécié à sa mesure la portée du rappel des consignes signifié oralement le 20 janvier 2012 et confirmé par écrit le 31 juillet suivant. Le Conseil d'État pouvait effectivement douter de son l'aptitude à les respecter scrupuleusement. Comme il l'a relevé dans sa décision, le maintien du recourant dans ses fonctions était de nature à entraver la bonne marche d'un établissement pénitentiaire de sécurité élevée.</w:t>
      </w:r>
    </w:p>
    <w:p>
      <w:r>
        <w:rPr>
          <w:b/>
        </w:rPr>
        <w:t>E. 5.5</w:t>
      </w:r>
    </w:p>
    <w:p>
      <w:r>
        <w:t>Dans ces conditions, la résiliation des rapports de service, sans avertissement préalable au sens de l'art. 46 LSt, n'est pas non plus insoutenable et, partant, échappe au grief d'arbitraire.</w:t>
      </w:r>
    </w:p>
    <w:p>
      <w:r>
        <w:rPr>
          <w:b/>
        </w:rPr>
        <w:t>E. 6</w:t>
      </w:r>
    </w:p>
    <w:p>
      <w:r>
        <w:t>Le recourant se prévaut du principe le proportionnalité. Ce principe, bien que de rang constitutionnel, ne constitue pas un droit constitutionnel avec une portée propre. Aussi bien, lorsque, comme en l'espèce, il est invoqué en relation avec l'application du droit cantonal (en dehors du domaine de protection d'un droit fondamental spécial), le Tribunal fédéral n'intervient-il, en cas de violation du principe de proportionnalité, que si la mesure de droit cantonal est manifestement disproportionnée et qu'elle viole simultanément l'interdiction de l'arbitraire; autrement dit, le grief se confond avec celui de l'arbitraire ( ATF 134 I 153 consid. 4.2.2 et 4.3 p. 158; arrêt 8C_901/2010 du 16 mai 2011 consid. 6.2). En l'espèce, le licenciement, qui d'ailleurs faisait suite, on l'a vu, à un avertissement, n'apparaît pas manifestement contraire au principe de proportionnalité.</w:t>
      </w:r>
    </w:p>
    <w:p>
      <w:r>
        <w:rPr>
          <w:b/>
        </w:rPr>
        <w:t>E. 7</w:t>
      </w:r>
    </w:p>
    <w:p>
      <w:r>
        <w:t>Vu ce qui précède, le jugement attaqué n'est pas critiquable et le recours se révèle mal fondé.</w:t>
      </w:r>
    </w:p>
    <w:p>
      <w:r>
        <w:rPr>
          <w:b/>
        </w:rPr>
        <w:t>E. 8</w:t>
      </w:r>
    </w:p>
    <w:p>
      <w:r>
        <w:t>Le recourant, qui succombe, supportera les frais judiciaires (art. 66 al.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