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8C_82/2010 vom 18. März 2010</w:t>
      </w:r>
    </w:p>
    <w:p>
      <w:r>
        <w:t>Bundesgericht, 2010-03-18, DE</w:t>
      </w:r>
    </w:p>
    <w:p>
      <w:r>
        <w:rPr>
          <w:b/>
        </w:rPr>
        <w:t xml:space="preserve">Quelle: </w:t>
      </w:r>
      <w:r>
        <w:t>https://mcp.opencaselaw.ch/entscheid/bger_8C_82_2010</w:t>
      </w:r>
    </w:p>
    <w:p>
      <w:r>
        <w:t>FR: TF 8C_82/2010 du 18 mars 2010</w:t>
      </w:r>
    </w:p>
    <w:p>
      <w:r>
        <w:t>IT: TF 8C_82/2010 del 18 marzo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 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sowie I 708/06 vom 23. November 2006 E. 3.1 und 3.2, je mit Hinweisen; vgl. auch BGE 132 V 393 E. 3.3 S. 399).</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31. Dezember 2007 auf Grund der bisherigen und ab diesem Moment - bis zum Erlass der Verfügung vom 2. April 2009, welcher rechtsprechungsgemäss die zeitliche Grenze der richterlichen Überprüfungsbefugnis bildet ( BGE 132 V 215 E. 3.1.1 S. 220 mit Hinweisen) - nach den neuen Normen zu prüfen ( BGE 130 V 445 E. 1 S. 446 f. [mit Hinweis u.a. auf BGE 130 V 329 ]). Dies fällt materiellrechtlich jedoch nicht ins Gewicht, weil die 5. IV-Revision hinsichtlich der - im vorliegenden Fall streitigen - Invaliditätsbemessung keine Änderungen gegenüber der bis 31. Dezember 2007 gültig gewesenen Rechtslage gebracht hat.</w:t>
      </w:r>
    </w:p>
    <w:p>
      <w:r>
        <w:rPr>
          <w:b/>
        </w:rPr>
        <w:t>E. 2.2</w:t>
      </w:r>
    </w:p>
    <w:p>
      <w:r>
        <w:t>Im angefochtenen Entscheid wurden die zur Beurteilung des Leistungsanspruchs einschlägigen Rechtsgrundlagen und die dazu ergangene Judikatur zutreffend dargelegt. Darauf wird verwiesen.</w:t>
      </w:r>
    </w:p>
    <w:p>
      <w:r>
        <w:rPr>
          <w:b/>
        </w:rPr>
        <w:t>E. 3.1</w:t>
      </w:r>
    </w:p>
    <w:p>
      <w:r>
        <w:t>Das kantonale Gericht hat namentlich in Anbetracht der sowohl gegenüber den Ärzten der Klinik X.________ (vgl. Gutachten vom 8. März 2004, S. 3) wie auch anlässlich der im Haushalt durchgeführten Erhebungen gemachten Aussage der Beschwerdeführerin, sie würde auch bei intakter Gesundheit lediglich im Umfang von 50 % einer Erwerbstätigkeit nachgehen (vgl. Abklärungsbericht vom 2. September 2004, S. 2 unten), die der Invaliditätsbemessung zugrunde gelegte gemischte Methode zu Recht bestätigt. Nach sorgfältiger und umfassender Würdigung der gesamten medizinischen Aktenlage hat es ferner mit in allen Teilen zutreffender Begründung erkannt, dass die Versicherte gestützt auf die Gutachten der Klinik X.________ vom 8. März 2004 (samt Ergänzung vom 21. April 2004) und 9. Februar 2009 sowie des Dr. med. A.________ vom 25. Januar 2007 zumutbarerweise in der Lage ist, eine ihren psychischen Beeinträchtigungen (als deren Folgen ein dysfunktionales Sozialverhalten resultiert) Rechnung tragende berufliche Tätigkeit bei einer seit 2001 um 60 % sowie seit März 2004 um 40 % verminderten Leistungsfähigkeit auszuüben. Die als Entscheidgrundlagen dienenden ärztlichen Expertisen sind für die streitigen Belange umfassend, beruhen auf allseitigen Untersuchungen, berücksichtigen die geklagten Beschwerden und sind in Kenntnis der Vorakten verfasst worden; zudem leuchten sie in der Beurteilung der medizinischen Zusammenhänge ein und enthalten begründete Schlussfolgerungen ( BGE 125 V 351 E. 3a S. 352 mit Hinweis); es kommt ihnen mithin uneingeschränkte Beweiskraft zu.</w:t>
      </w:r>
    </w:p>
    <w:p>
      <w:r>
        <w:rPr>
          <w:b/>
        </w:rPr>
        <w:t>E. 3.2</w:t>
      </w:r>
    </w:p>
    <w:p>
      <w:r>
        <w:t>Was die Beschwerdeführerin dagegen vorbringt, vermag zu keinem anderen Ergebnis zu führen. Soweit sie vor dem Bundesgericht das bereits im kantonalen Beschwerdeverfahren erhobene Argument wiederholt, sie habe ihre - auf entsprechende Nachfrage der IV-Abklärungsperson ausdrücklich bekräftigte - Aussage zur Statusfrage im Rahmen der Haushaltsabklärungen "in ihrem Unverständnis und Unwissen" um deren Tragweite gemacht, wobei ihr damals insbesondere der Zusammenhang zwischen ihren die Berufsausübung beträchtlich erschwerenden zwischenmenschlichen Kontaktschwierigkeiten und ihrem psychischen Krankheitsbild nur ungenügend bewusst gewesen sei, lässt sich daraus nicht auf eine offensichtliche Unrichtigkeit der vorinstanzlichen Tatsachenfeststellung schliessen (vgl. E. 1.2.2 in fine hievor). Die Beschwerdeführerin rügt sodann implizit, das kantonale Gericht habe Bundesrecht verletzt, indem es die ihr verbliebene Restarbeitsfähigkeit auf der Grundlage der Expertisen der Klinik X.________ und des Dr. med. A.________, nicht aber gestützt auf die Angaben des behandelnden Arztes Dr. med. B.________ vom 1. Juli 2008 ermittelt habe. Im Rahmen der Invaliditätsbemessung betrifft die Feststellung des Gesundheitsschadens, d.h. die Befunderhebung und die darauf beruhende Diagnosestellung, ebenso eine Tatfrage wie die anhand von medizinischen Unterlagen gerichtlich festgestellte Arbeitsunfähigkeit. Beide Sachverhaltskomponenten sind daher für das Bundesgericht grundsätzlich verbindlich (E. 1.2.2 hievor). Die Vorinstanz hat widerspruchsfrei begründet, weshalb den gutachtlichen Ausführungen der Ärzte der Klinik X.________ und des Dr. med. A.________ im Rahmen der freien Beweiswürdigung ( Art. 61 lit. c ATSG ) ausschlaggebendes Gewicht beizumessen und auf die dortige Einschätzung der Arbeitsfähigkeit abzustellen ist, was namentlich mit Blick auf die beweisrechtlich bedeutsame Unterscheidung von Behandlungs-/Therapieauftrag einerseits und Begutachtungsauftrag anderseits (vgl. BGE 124 I 170 E. 4 S. 175; Urteil 8C_76/2009 vom 19. Mai 2009 E. 4 mit Hinweis) zu keinen Beanstandungen führt. Ferner handelt es sich bei Dr. med. B.________ um einen in physikalischer Medizin und Rehabilitation geschulten Facharzt, wohingegen die begutachtenden Ärzte der Klinik X.________ über eine psychiatrische Spezialausbildung verfügen, die sie befähigt, die Auswirkungen des in casu zur Hauptsache psychisch begründeten Gesundheitsschadens zuverlässig zu beurteilen. Inwiefern das kantonale Gericht den Sachverhalt diesbezüglich rechtsfehlerhaft festgestellt haben sollte, ist somit nicht ersichtlich. Von weiteren medizinischen Erhebungen sind keine entscheidrelevanten neuen Aufschlüsse zu erwarten, so dass auf entsprechende, von der Beschwerdeführerin beantragte Massnahmen verzichtet werden kann (antizipierte Beweiswürdigung; BGE 131 I 153 E. 3 S. 157; Urteil I 9/07 vom 9. Februar 2007 E. 4, in: SVR 2007 IV Nr. 45 S. 149). Da die Versicherte alsdann zu Recht weder der darauf basierenden Ermittlung des Erwerbsunfähigkeitsgrades noch der im Aufgabenbereich Haushalt eruierten leidensbedingten Beeinträchtigung opponiert, hat die Vorinstanz die Ablehnung des Rentenanspruchs durch die Beschwerdegegnerin zu Recht bestätigt.</w:t>
      </w:r>
    </w:p>
    <w:p>
      <w:r>
        <w:rPr>
          <w:b/>
        </w:rPr>
        <w:t>E. 4.1</w:t>
      </w:r>
    </w:p>
    <w:p>
      <w:r>
        <w:t>Die offensichtlich unbegründete Beschwerde wird im vereinfachten Verfahren nach Art. 109 Ab. 2 lit. a BGG - ohne Durchführung des Schriftenwechsels, mit summarischer Begründung und unter Verweis auf den kantonalen Entscheid ( Art. 102 Abs. 1 und Art. 109 Abs. 3 BGG ) - erledigt.</w:t>
      </w:r>
    </w:p>
    <w:p>
      <w:r>
        <w:rPr>
          <w:b/>
        </w:rPr>
        <w:t>E. 4.2</w:t>
      </w:r>
    </w:p>
    <w:p>
      <w:r>
        <w:t>Dem Prozessausgang entsprechend sind die Gerichtskosten der Beschwerdeführerin aufzuerlegen ( Art. 65 Abs. 4 lit. a und Art. 66 Abs. 1 BGG ). Deren Gesuch um unentgeltliche Rechtspflege (im Sinne der unentgeltlichen Prozessführung und Verbeiständung) kann mangels der gemäss Art. 64 Abs. 1 BGG hierfür erforderlichen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