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8C_826/2013 vom 15. Januar 2014</w:t>
      </w:r>
    </w:p>
    <w:p>
      <w:r>
        <w:t>Bundesgericht, 2014-01-15, DE</w:t>
      </w:r>
    </w:p>
    <w:p>
      <w:r>
        <w:rPr>
          <w:b/>
        </w:rPr>
        <w:t xml:space="preserve">Quelle: </w:t>
      </w:r>
      <w:r>
        <w:t>https://mcp.opencaselaw.ch/entscheid/bger_8C_826_2013</w:t>
      </w:r>
    </w:p>
    <w:p>
      <w:r>
        <w:t>FR: TF 8C_826/2013 du 15 janvier 2014</w:t>
      </w:r>
    </w:p>
    <w:p>
      <w:r>
        <w:t>IT: TF 8C_826/2013 del 15 gennaio 2014</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Eine - für den Ausgang des Verfahrens entscheidende (vgl. Art. 97 Abs. 1 BGG ) - Sachverhaltsfeststellung kann es nur berichtigen oder ergänzen, wenn sie offensichtlich unrichtig ist oder auf einer Rechtsverletzung im Sinne von Art. 95 BGG beruht ( Art. 105 Abs. 2 BGG ).</w:t>
      </w:r>
    </w:p>
    <w:p>
      <w:r>
        <w:rPr>
          <w:b/>
        </w:rPr>
        <w:t>E. 1.2</w:t>
      </w:r>
    </w:p>
    <w:p>
      <w:r>
        <w:t>Die erst nach Ablauf der 30-tägigen Beschwerdefrist ( Art. 100 Abs. 1 BGG ) eingereichten Nachträge vom 5. und 6. Dezember 2013 einschliesslich der Beilagen dazu müssen - Letztere soweit sie nicht bereits aktenkundig waren - im vorliegenden Verfahren unbeachtet bleiben ( Art. 99 BGG ).</w:t>
      </w:r>
    </w:p>
    <w:p>
      <w:r>
        <w:rPr>
          <w:b/>
        </w:rPr>
        <w:t>E. 2</w:t>
      </w:r>
    </w:p>
    <w:p>
      <w:r>
        <w:t>Die für die Beurteilung der streitigen Einstellung in der Anspruchsberechtigung massgebenden gesetzlichen Bestimmungen und die von der Rechtsprechung hiezu entwickelten Grundsätze hat das kantonale Gericht, soweit hier von Belang, zutreffend dargelegt, worauf verwiesen wird. Es betrifft dies namentlich die Einstellung in der Anspruchsberechtigung wegen Nichtannahme einer zugewiesenen zumutbaren Arbeit (Art. 30 Abs. 1 lit. d in Verbindung mit Art. 16 Abs. 1 und Art. 17 Abs. 1 und 3 Satz 1 AVIG ) und die nach Massgabe des Verschuldens zu bemessende Dauer einer solchen Einstellung ( Art. 30 Abs. 3 Satz 3 AVIG , Art. 45 Abs. 3 und 4 AVIV ).</w:t>
      </w:r>
    </w:p>
    <w:p>
      <w:r>
        <w:rPr>
          <w:b/>
        </w:rPr>
        <w:t>E. 3</w:t>
      </w:r>
    </w:p>
    <w:p>
      <w:r>
        <w:t>Unbestrittenermassen fand sich der Beschwerdeführer am 12. Juni 2013 in der Personalvermittlungsfirma C.________ GmbH zu einem Vorstellungsgespräch ein. Diese wollte ihm zu einer Anstellung als Maschinenführer in der A.________ AG verhelfen, welche in der Folge jedoch nicht zustande kam. Wie zuvor schon die Verwaltung erachtete es auch das kantonale Gericht aufgrund der als glaubwürdig qualifizierten Angaben des Geschäftsführers der C.________ GmbH mit dem Beweisgrad der überwiegenden Wahrscheinlichkeit als erstellt, dass das Scheitern dieser Vermittlungsbemühungen dem Verhalten des Beschwerdeführers anlässlich des besagten Vorstellungsgesprächs zuzuschreiben und dementsprechend selbstverschuldet sei. Die Vorbringen in der Beschwerdeschrift lassen diese überzeugend begründeten Feststellungen sachverhaltlicher Art nicht als offensichtlich unrichtig erscheinen, weshalb diese für das Bundesgericht verbindlich sind (E. 1.1 hievor). Die auf dieser Grundlage bestätigte Einstellung in der Anspruchsberechtigung ist aufgrund von Art. 30 Abs. 1 lit. d AVIG bundesrechtskonform und auch gegen die vorinstanzliche Begründung ihrer Dauer lässt sich angesichts der bundesgerichtlichen Überprüfungsbefugnis (E. 1.1 hievor) nichts einwenden. Die Festlegung der Einstellungsdauer stellt eine typische Ermessensfrage dar, deren Beantwortung letztinstanzlicher Korrektur nämlich nur mehr dort zugänglich ist, wo das kantonale Gericht das Ermessen rechtsfehlerhaft ausgeübt hat, also Ermessensüber- oder -unterschreitung resp. Ermessensmissbrauch vorliegt (Urteile 8C_2/2012 vom 14. Juni 2012 E. 2.2 und 8C_31/2007 vom 25. September 2007 E. 3.1, publiziert in: SVR 2008 ALV Nr. 12 S. 35). Davon kann hier keine Rede sein.</w:t>
      </w:r>
    </w:p>
    <w:p>
      <w:r>
        <w:rPr>
          <w:b/>
        </w:rPr>
        <w:t>E. 4</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 Bei diesem 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