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825/2011 vom 11. April 2012</w:t>
      </w:r>
    </w:p>
    <w:p>
      <w:r>
        <w:t>Bundesgericht, 2012-04-11, DE</w:t>
      </w:r>
    </w:p>
    <w:p>
      <w:r>
        <w:rPr>
          <w:b/>
        </w:rPr>
        <w:t xml:space="preserve">Quelle: </w:t>
      </w:r>
      <w:r>
        <w:t>https://mcp.opencaselaw.ch/entscheid/bger_8C_825_2011</w:t>
      </w:r>
    </w:p>
    <w:p>
      <w:r>
        <w:t>FR: TF 8C 825/2011 du 11 avril 2012</w:t>
      </w:r>
    </w:p>
    <w:p>
      <w:r>
        <w:t>IT: TF 8C 825/2011 del 11 aprile 2012</w:t>
      </w:r>
    </w:p>
    <w:p>
      <w:pPr>
        <w:pStyle w:val="Heading2"/>
      </w:pPr>
      <w:r>
        <w:t>Regeste</w:t>
      </w:r>
    </w:p>
    <w:p>
      <w:r>
        <w:t>Invalidenversicherung (Invalidenrente; Invalideneinkommen) | Invalidenversicherung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2</w:t>
      </w:r>
    </w:p>
    <w:p>
      <w:r>
        <w:t>Der Sachverhalt verwirklichte sich teilweise vor dem Inkrafttreten der 5. IV-Revision am 1. Januar 2008. Die Vorinstanz erkannte richtig, dass praxisgemäss bis 31. Dezember 2007 auf die damals geltenden Bestimmungen und danach auf die neuen Normen der 5. IV-Revision abzustellen ist ( BGE 130 V 445 E. 1 S. 446 f.). Da die Revision bezüglich der - in casu strittigen - Invaliditätsbemessung nach der Einkommensvergleichsmethode ( Art. 16 ATSG ; Art. 28 Abs. 2 IVG in der bis 31. Dezember 2007 gültig gewesenen und Art. 28a Abs. 1 IVG in der seitherigen Fassung) jedoch keine substanziellen Änderungen gebracht hat, gilt weiterhin die zur altrechtlichen Regelung ergangene Rechtsprechung (Urteil 8C_546/2011 vom 14. November 2011 E. 2 mit Hinweisen).</w:t>
      </w:r>
    </w:p>
    <w:p>
      <w:r>
        <w:rPr>
          <w:b/>
        </w:rPr>
        <w:t>E. 3</w:t>
      </w:r>
    </w:p>
    <w:p>
      <w:r>
        <w:t>Nach der unbestritten gebliebenen Darstellung des kantonalen Gerichts sieht sich der Beschwerdeführer auf Grund der Folgen der im November 2004 durchgeführten Oberlappenresektion der Lunge ausserstande, seine bisherige Tätigkeit als Baumonteur weiterzuführen; zumutbar sind ihm indessen noch körperlich leichte bis mittelschwere Verrichtungen (ohne Heben und Tragen von schweren Lasten) im Umfang von 100 %. Für das Referenzjahr 2005 wurde angesichts dieser Verhältnisse in Gegenüberstellung der Vergleichseinkommen (Einkommen, welches der Beschwerdeführer ohne gesundheitliche Beeinträchtigungen bei der vormaligen Arbeitgeberin, der Firma E._______ AG, zu erzielen vermocht hätte [Valideneinkommen; Fr. 71'281.30]; Einkommen, das der Versicherte nach Massgabe der vom Bundesamt für Statistik periodisch herausgegebenen Schweizerischen Lohnstrukturerhebung [LSE] trotz Gesundheitsschädigung zumutbarerweise noch hätte erwirtschaften können [Invalideneinkommen; Fr. 51'987.20]), ein Invaliditätsgrad von 27 % ermittelt. Zu keinen Beanstandungen geführt hat sodann auch die vorinstanzliche Feststellung, wonach im Anschluss an die ab 22. Juni 2006 durchgeführte Behandlung des Blasentumors und einer Nierenzyste bis zum 19. Februar 2007 jegliche Arbeitstätigkeit ausgeschlossen war und dem Beschwerdeführer für diesen Zeitraum (bzw. bis Ende Mai 2007; vgl. Art. 88a Abs. 1 IVV ) daher eine ganze Invalidenrente zuzusprechen ist. Hinsichtlich der Zeitspanne ab 20. Februar 2007 wurde im angefochtenen Entscheid schliesslich - ebenfalls unstreitig - erwogen, dass eine leidensadaptierte Arbeitstätigkeit wiederum im vorangegangenen Ausmass ausübbar sei. Darauf ist letztinstanzlich abzustellen (vgl. E. 1 hievor).</w:t>
      </w:r>
    </w:p>
    <w:p>
      <w:r>
        <w:rPr>
          <w:b/>
        </w:rPr>
        <w:t>E. 4.1</w:t>
      </w:r>
    </w:p>
    <w:p>
      <w:r>
        <w:t>Uneinig sind sich die Verfahrensbeteiligten infolge der auf August 2008 aufgenommenen neuen beruflichen Beschäftigung des Versicherten als Hilfssanitär jedoch bezüglich des ab diesem Zeitpunkt massgeblichen Invalideneinkommens: Während Vorinstanz und Beschwerdegegnerin weiterhin von tabellarischen Ansätzen ausgehen, votiert der Beschwerdeführer für die Zugrundelegung des im Rahmen seines aktuellen Arbeitsverhältnisses erzielten Jahreslohnes (von Fr. 42'600.-).</w:t>
      </w:r>
    </w:p>
    <w:p>
      <w:r>
        <w:rPr>
          <w:b/>
        </w:rPr>
        <w:t>E. 4.2.1</w:t>
      </w:r>
    </w:p>
    <w:p>
      <w:r>
        <w:t>Bei der Ermittlung des Invalideneinkommens ist primär von der beruflich-erwerblichen Situation auszugehen, in welcher die betroffene Person konkret steht. Allerdings bildet der von ihr nach Eintritt der Invalidität tatsächlich erzielte Verdienst für sich allein betrachtet grundsätzlich kein genügendes Kriterium für die Bestimmung der Erwerbsunfähigkeit und damit des Invaliditätsgrades. Das Mass der tatsächlichen Erwerbseinbusse stimmt mit dem Umfang der Invalidität vielmehr nur dann überein, wenn - kumulativ - besonders stabile Arbeitsverhältnisse eine Bezugnahme auf den allgemeinen Arbeitsmarkt praktisch erübrigen, die versicherte Person eine Tätigkeit ausübt, bei der anzunehmen ist, dass sie die ihr verbliebene Arbeitsfähigkeit in zumutbarer Weise voll ausschöpft, und wenn das Einkommen aus der Arbeitsleistung als angemessen und nicht als Soziallohn erscheint (vgl. BGE 135 V 297 E. 5.2 S. 301 mit Hinweisen; Urteil 8C_90/2011 vom 8. August 2011 E. 5.2; Ulrich Meyer, Rechtsprechung des Bundesgerichts zum IVG, 2. Aufl. 2010, S. 308 f.).</w:t>
      </w:r>
    </w:p>
    <w:p>
      <w:r>
        <w:rPr>
          <w:b/>
        </w:rPr>
        <w:t>E. 4.2.2</w:t>
      </w:r>
    </w:p>
    <w:p>
      <w:r>
        <w:t>Auf der beruflich-erwerblichen Stufe der Invaliditätsbemessung charakterisieren sich die gesetzlichen und rechtsprechungsgemässen Regeln über die Durchführung des Einkommensvergleichs als Rechtsfragen ( BGE 130 V 343 E. 3.4 S. 348 f.; 128 V 29 E. 1 S. 30 f.; 104 V 135 E. 2a und b S. 136 f.). Während es sich bei der Feststellung der beiden hypothetischen Vergleichseinkommen um eine Tatfrage handelt, soweit sie auf konkreter Beweiswürdigung beruht, geht es um die Beurteilung einer Rechtsfrage, wenn sich der Entscheid nach der allgemeinen Lebenserfahrung richtet. Letzteres betrifft etwa die Fragen, ob Tabellenlöhne anwendbar sind und, bejahendenfalls, welches die gemäss LSE relevante Tabelle ist ( BGE 132 V 393 E. 3.3 S. 399; Urteil 8C_255/2007 vom 12. Juni 2008 E. 1.2, nicht publ. in: BGE 134 V 322 , aber in: SVR 2008 IV Nr. 59 S. 191).</w:t>
      </w:r>
    </w:p>
    <w:p>
      <w:r>
        <w:rPr>
          <w:b/>
        </w:rPr>
        <w:t>E. 4.3.1</w:t>
      </w:r>
    </w:p>
    <w:p>
      <w:r>
        <w:t>Das kantonale Gericht hat die rechtsprechungsgemässen Voraussetzungen für eine Gleichsetzung des Invalideneinkommens mit dem tatsächlich erzielten Verdienst verneint. Dies im Wesentlichen unter Hinweis auf das erst seit August 2008 bestehende - und folglich jedenfalls im massgeblichen Zeitpunkt des Verfügungserlasses nicht als besonders stabil zu bezeichnende - Arbeitsverhältnis bei der im Sanitärbereich tätigen Firma M.________ sowie den Umstand, dass der Beschwerdeführer seine aus pulmonaler Sicht im Rahmen körperlich leichter Beschäftigungen uneingeschränkte Arbeitsfähigkeit im neuen, physisch anspruchsvollen beruflichen Umfeld nicht optimal verwerte. Da dem Versicherten eine breite Palette an besser entlöhnten Verweisungstätigkeiten (in Form von leichten Hilfs-, Kontroll- und Überwachungsfunktionen) offenstehe, sei für die Ermittlung des Invalidenlohnes auf statistische Durchschnittslöhne abzustellen.</w:t>
      </w:r>
    </w:p>
    <w:p>
      <w:r>
        <w:rPr>
          <w:b/>
        </w:rPr>
        <w:t>E. 4.3.2</w:t>
      </w:r>
    </w:p>
    <w:p>
      <w:r>
        <w:t>Dem vermag der Beschwerdeführer letztinstanzlich nichts Grundlegendes entgegenzusetzen. Namentlich kann in der Begründung der Vorinstanz, wonach das ab August 2008 erzielte Einkommen nicht als massgebendes Invalidenkommen herangezogen werden könne, da einerseits im Zeitpunkt des Verfügungserlasses (vom 1. Juli 2009) noch kein besonders stabiles Arbeitsverhältnis vorgelegen habe und anderseits die Tätigkeit bei der Firma M.________ - wiewohl ein vorbehältlich des gesundheitlichen Anforderungsprofils zwar grundsätzlich geeignetes Einsatzgebiet darstellend - nicht die bestmögliche Verwertung der verbliebenen Arbeitsfähigkeit gewährleiste, keine Bundesrechtsverletzung erblickt werden. Vielmehr besteht, wie dies im angefochtenen Entscheid einlässlich dargelegt wurde, kein Raum für das Abstellen auf das tatsächlich erzielte Einkommen, wenn mit der zumutbaren Ausschöpfung des noch vorhandenen Leistungspotenzials eine Rente zu vermeiden wäre. Der relevante ausgeglichene Arbeitsmarkt (vgl. dazu BGE 134 V 64 E. 4.2.1 S. 70 f. mit Hinweis) bietet zahlreiche Optionen, insbesondere auch leichtere Beschäftigungen, an, die im vorliegenden Fall behinderungsbedingt in Frage kämen. Es sprechen weder das Alter (im Verfügungszeitpunkt 43-jährig) noch andere Faktoren dagegen, dass der Beschwerdeführer seiner Schadenminderungspflicht nachkommt und ein rentenausschliessendes Einkommen erzielt.</w:t>
      </w:r>
    </w:p>
    <w:p>
      <w:r>
        <w:rPr>
          <w:b/>
        </w:rPr>
        <w:t>E. 4.4</w:t>
      </w:r>
    </w:p>
    <w:p>
      <w:r>
        <w:t>Da keine weitergehenden Einwendungen gegen das gestützt auf lohnstatistische Angaben erhobene Invalideneinkommen vorgebracht werden, hat es bei der vorinstanzlich in Berücksichtigung von Art. 88a Abs. 1 IVV auf Ende Mai 2007 festgelegten Aufhebung der ganzen Rente sein Bewenden.</w:t>
      </w:r>
    </w:p>
    <w:p>
      <w:r>
        <w:rPr>
          <w:b/>
        </w:rPr>
        <w:t>E. 5</w:t>
      </w:r>
    </w:p>
    <w:p>
      <w:r>
        <w:t>Dem Verfahrensausgang entsprechend hat der Beschwerdeführer die Gerichtskosten zu tragen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