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8C_822/2018 vom 4. Dezember 2018</w:t>
      </w:r>
    </w:p>
    <w:p>
      <w:r>
        <w:t>Bundesgericht, 2018-12-04, DE</w:t>
      </w:r>
    </w:p>
    <w:p>
      <w:r>
        <w:rPr>
          <w:b/>
        </w:rPr>
        <w:t xml:space="preserve">Quelle: </w:t>
      </w:r>
      <w:r>
        <w:t>https://mcp.opencaselaw.ch/entscheid/bger_8C_822_2018</w:t>
      </w:r>
    </w:p>
    <w:p>
      <w:r>
        <w:t>FR: TF 8C_822/2018 du 4 décembre 2018</w:t>
      </w:r>
    </w:p>
    <w:p>
      <w:r>
        <w:t>IT: TF 8C_822/2018 del 4 dicembre 2018</w:t>
      </w:r>
    </w:p>
    <w:p>
      <w:pPr>
        <w:pStyle w:val="Heading2"/>
      </w:pPr>
      <w:r>
        <w:t>Volltext</w:t>
      </w:r>
    </w:p>
    <w:p>
      <w:r>
        <w:t>Bundesgericht</w:t>
      </w:r>
    </w:p>
    <w:p>
      <w:r>
        <w:t>Tribunal fédéral</w:t>
      </w:r>
    </w:p>
    <w:p>
      <w:r>
        <w:t>Tribunale federale</w:t>
      </w:r>
    </w:p>
    <w:p>
      <w:r>
        <w:t>Tribunal federal</w:t>
      </w:r>
    </w:p>
    <w:p>
      <w:r>
        <w:t>8C_822/2018</w:t>
      </w:r>
    </w:p>
    <w:p>
      <w:r>
        <w:t>Urteil vom 4. Dezember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Kloten, vertreten durch die Sozialbehörde Kloten, Kirchgasse 7, 8302 Kloten,</w:t>
      </w:r>
    </w:p>
    <w:p>
      <w:r>
        <w:t>Beschwerdegegnerin.</w:t>
      </w:r>
    </w:p>
    <w:p>
      <w:r>
        <w:t>Gegenstand</w:t>
      </w:r>
    </w:p>
    <w:p>
      <w:r>
        <w:t>Sozialhilfe (Prozessvoraussetzung),</w:t>
      </w:r>
    </w:p>
    <w:p>
      <w:r>
        <w:t>Beschwerde gegen den Entscheid des Verwaltungsgerichts des Kantons Zürich vom 11. Oktober 2018 (VB.2018.00205).</w:t>
      </w:r>
    </w:p>
    <w:p>
      <w:r>
        <w:t>Nach Einsicht</w:t>
      </w:r>
    </w:p>
    <w:p>
      <w:r>
        <w:t>in die Beschwerde vom 28. November 2018 (Poststempel) gegen den Entscheid des Verwaltungsgerichts des Kantons Zürich vom 11. Oktober 2018,</w:t>
      </w:r>
    </w:p>
    <w:p>
      <w:r>
        <w:t>in Erwägung,</w:t>
      </w:r>
    </w:p>
    <w:p>
      <w:r>
        <w:t>dass das Verwaltungsgericht des Kantons Zürich im angefochtenen Entscheid die wegen fortgesetzter Weigerung, an vom Sozialdienst festgelegten Kontrollterminen teilzunehmen, erfolgte Kürzung des monatlichen Grundbedarfs in wirtschaftlicher Hilfe durch die Gemeinde bestätigte,</w:t>
      </w:r>
    </w:p>
    <w:p>
      <w:r>
        <w:t>dass dabei kantonales Recht (§ 24 SHG/ZH) zur Anwendung gelangte,</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der Beschwerdeführer den vorinstanzlichen Entscheid als in mannigfaltiger Weise verfassungsmässige Rechte und die EMRK verletzend rügt, ohne indessen nachvollziehbar darzulegen, inwiefern das kantonale Gericht dagegen konkret verstossen haben soll,</w:t>
      </w:r>
    </w:p>
    <w:p>
      <w:r>
        <w:t>dass er es nämlich unterlässt, auf die vorliegend allein entscheidenden vorinstanzlichen Erwägungen näher einzugehen, wonach</w:t>
      </w:r>
    </w:p>
    <w:p>
      <w:r>
        <w:t>- die auf einer gesetzlichen Grundlage beruhende, im öffentlichen Interesse liegende Verpflichtung, an den vierteljährlich stattfindenden Kontrollterminen teilzunehmen, sich als für den Beschwerdeführer zumutbar, und</w:t>
      </w:r>
    </w:p>
    <w:p>
      <w:r>
        <w:t>- darüber hinaus - genau so wie die wegen der fortlaufenden Verletzung dieser Mitwirkungspflicht vorgenommene Kürzung der Sozialhilfegelder - sich als verhältnismässig erweise,</w:t>
      </w:r>
    </w:p>
    <w:p>
      <w:r>
        <w:t>- womit in diesem Zusammenhang allenfalls einhergehende Grundrechtseingriffe rechtmässig seien,</w:t>
      </w:r>
    </w:p>
    <w:p>
      <w:r>
        <w:t>dass er statt dessen in weiten Teilen ausserhalb davon Liegendes vorträgt, oder aber lediglich seine Sicht der Dinge wiedergibt, ohne zugleich aufzuzeigen, inwiefern das dazu Erwogene verfassungswidrig sein soll,</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Bülach schriftlich mitgeteilt.</w:t>
      </w:r>
    </w:p>
    <w:p>
      <w:r>
        <w:t>Luzern, 4.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